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2EDFAFBA"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F1128">
        <w:rPr>
          <w:rFonts w:eastAsia="MS Mincho" w:cs="Arial"/>
          <w:kern w:val="0"/>
          <w:sz w:val="24"/>
          <w:szCs w:val="24"/>
          <w:lang w:val="en-US" w:eastAsia="en-US"/>
        </w:rPr>
        <w:t xml:space="preserve">3GPP </w:t>
      </w:r>
      <w:r w:rsidR="00D22012" w:rsidRPr="00D22012">
        <w:rPr>
          <w:rFonts w:eastAsia="MS Mincho" w:cs="Arial"/>
          <w:kern w:val="0"/>
          <w:sz w:val="24"/>
          <w:szCs w:val="24"/>
          <w:lang w:val="en-US" w:eastAsia="en-US"/>
        </w:rPr>
        <w:t>TSG-RAN WG1 Meeting #90</w:t>
      </w:r>
      <w:r w:rsidR="00A9335C" w:rsidRPr="001F1128">
        <w:rPr>
          <w:rFonts w:eastAsia="MS Mincho" w:cs="Arial"/>
          <w:kern w:val="0"/>
          <w:sz w:val="24"/>
          <w:szCs w:val="24"/>
          <w:lang w:val="en-US" w:eastAsia="en-US"/>
        </w:rPr>
        <w:tab/>
      </w:r>
      <w:r w:rsidR="00F165EE">
        <w:rPr>
          <w:rFonts w:eastAsia="MS Mincho" w:cs="Arial"/>
          <w:kern w:val="0"/>
          <w:sz w:val="24"/>
          <w:szCs w:val="24"/>
          <w:lang w:val="en-US" w:eastAsia="en-US"/>
        </w:rPr>
        <w:t>R1-</w:t>
      </w:r>
      <w:r w:rsidR="00292366" w:rsidRPr="00292366">
        <w:t xml:space="preserve"> </w:t>
      </w:r>
      <w:r w:rsidR="00292366" w:rsidRPr="00292366">
        <w:rPr>
          <w:rFonts w:eastAsia="MS Mincho" w:cs="Arial"/>
          <w:kern w:val="0"/>
          <w:sz w:val="24"/>
          <w:szCs w:val="24"/>
          <w:lang w:val="en-US" w:eastAsia="en-US"/>
        </w:rPr>
        <w:t>1712629</w:t>
      </w:r>
    </w:p>
    <w:p w14:paraId="0D62D7B0" w14:textId="77777777" w:rsidR="00D22012" w:rsidRDefault="00D22012" w:rsidP="001F1128">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Prague, Czech Republic</w:t>
      </w:r>
    </w:p>
    <w:p w14:paraId="6FFDE392" w14:textId="1DE5A11F" w:rsidR="001F1128" w:rsidRPr="00D0025C" w:rsidRDefault="00D22012" w:rsidP="001F1128">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D22012">
        <w:rPr>
          <w:rFonts w:eastAsia="MS Mincho" w:cs="Arial"/>
          <w:kern w:val="0"/>
          <w:sz w:val="24"/>
          <w:szCs w:val="24"/>
          <w:lang w:eastAsia="en-US"/>
        </w:rPr>
        <w:t>21th – 25th Aug 2017</w:t>
      </w:r>
    </w:p>
    <w:p w14:paraId="3CDAFA8C" w14:textId="77777777" w:rsidR="00D0025C" w:rsidRPr="00D0025C" w:rsidRDefault="00D0025C" w:rsidP="00D0025C">
      <w:pPr>
        <w:pStyle w:val="3GPPHeader"/>
        <w:spacing w:after="120"/>
        <w:rPr>
          <w:rFonts w:ascii="Arial" w:hAnsi="Arial" w:cs="Arial"/>
          <w:sz w:val="22"/>
        </w:rPr>
      </w:pPr>
    </w:p>
    <w:p w14:paraId="37CAA1D4" w14:textId="36DD4C05"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532ABE">
        <w:rPr>
          <w:rFonts w:ascii="Arial" w:hAnsi="Arial" w:cs="Arial"/>
          <w:b w:val="0"/>
          <w:bCs/>
          <w:sz w:val="22"/>
        </w:rPr>
        <w:t>5.2.7.5</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605546C"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532ABE" w:rsidRPr="00532ABE">
        <w:rPr>
          <w:rFonts w:ascii="Arial" w:hAnsi="Arial" w:cs="Arial"/>
          <w:b w:val="0"/>
          <w:bCs/>
          <w:sz w:val="22"/>
        </w:rPr>
        <w:t>Reduced system acquisition time for NB-IoT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0" w:name="_Ref409106980"/>
      <w:r w:rsidRPr="00040C32">
        <w:t>Introduction</w:t>
      </w:r>
      <w:bookmarkStart w:id="1" w:name="_Ref465843822"/>
      <w:bookmarkEnd w:id="0"/>
    </w:p>
    <w:p w14:paraId="62866BEF" w14:textId="118824BB" w:rsidR="00A11925" w:rsidRDefault="00514643" w:rsidP="00EC02EC">
      <w:pPr>
        <w:rPr>
          <w:rFonts w:cs="Arial"/>
        </w:rPr>
      </w:pPr>
      <w:r>
        <w:t>In Rel-15, a work item (WI) for enhancement of N</w:t>
      </w:r>
      <w:bookmarkStart w:id="2" w:name="_GoBack"/>
      <w:bookmarkEnd w:id="2"/>
      <w:r>
        <w:t xml:space="preserve">B-IoT is agreed. The objective is to further enhance the performance of NB-IoT by further reduction of latency and power consumption, improvement of measurement accuracy, enhancement of NPRACH reliability and range,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DB7A42">
        <w:t>[1]</w:t>
      </w:r>
      <w:r>
        <w:fldChar w:fldCharType="end"/>
      </w:r>
      <w:r>
        <w:t xml:space="preserve">. </w:t>
      </w:r>
      <w:r>
        <w:rPr>
          <w:rFonts w:cs="Arial"/>
        </w:rPr>
        <w:t xml:space="preserve">By </w:t>
      </w:r>
      <w:r w:rsidR="000A1844">
        <w:t xml:space="preserve">reducing system acquisition time, </w:t>
      </w:r>
      <w:r w:rsidR="005A73F9">
        <w:rPr>
          <w:rFonts w:cs="Arial"/>
        </w:rPr>
        <w:t>latency</w:t>
      </w:r>
      <w:r>
        <w:rPr>
          <w:rFonts w:cs="Arial"/>
        </w:rPr>
        <w:t xml:space="preserve"> and </w:t>
      </w:r>
      <w:r w:rsidR="000A1844">
        <w:rPr>
          <w:rFonts w:cs="Arial"/>
        </w:rPr>
        <w:t>efficiency of</w:t>
      </w:r>
      <w:r>
        <w:rPr>
          <w:rFonts w:cs="Arial"/>
        </w:rPr>
        <w:t xml:space="preserve"> NB-IoT </w:t>
      </w:r>
      <w:r w:rsidR="000A1844">
        <w:rPr>
          <w:rFonts w:cs="Arial"/>
        </w:rPr>
        <w:t>can be further improved</w:t>
      </w:r>
      <w:r>
        <w:rPr>
          <w:rFonts w:cs="Arial"/>
        </w:rPr>
        <w:t xml:space="preserve">. </w:t>
      </w:r>
    </w:p>
    <w:p w14:paraId="6FB3C3B8" w14:textId="7F50E2C9" w:rsidR="00AC5266" w:rsidRDefault="00A11925" w:rsidP="00EC02EC">
      <w:pPr>
        <w:rPr>
          <w:rFonts w:cs="Arial"/>
        </w:rPr>
      </w:pPr>
      <w:r>
        <w:rPr>
          <w:rFonts w:cs="Arial"/>
        </w:rPr>
        <w:t>In RAN1#8</w:t>
      </w:r>
      <w:r w:rsidR="00622DDC">
        <w:rPr>
          <w:rFonts w:cs="Arial"/>
        </w:rPr>
        <w:t>9</w:t>
      </w:r>
      <w:r>
        <w:rPr>
          <w:rFonts w:cs="Arial"/>
        </w:rPr>
        <w:t xml:space="preserve">, regarding </w:t>
      </w:r>
      <w:r w:rsidR="006D10B4">
        <w:rPr>
          <w:rFonts w:cs="Arial"/>
        </w:rPr>
        <w:t xml:space="preserve">system acquisition time reduction, </w:t>
      </w:r>
      <w:r w:rsidR="0073097D">
        <w:rPr>
          <w:rFonts w:cs="Arial"/>
        </w:rPr>
        <w:t>the way forward below was agreed.</w:t>
      </w:r>
    </w:p>
    <w:p w14:paraId="7C91FEA4" w14:textId="77777777" w:rsidR="0073097D" w:rsidRPr="00187411" w:rsidRDefault="0073097D" w:rsidP="006E577B">
      <w:pPr>
        <w:pStyle w:val="ListParagraph"/>
        <w:numPr>
          <w:ilvl w:val="0"/>
          <w:numId w:val="8"/>
        </w:numPr>
        <w:rPr>
          <w:rFonts w:ascii="Times New Roman" w:hAnsi="Times New Roman"/>
          <w:sz w:val="22"/>
          <w:szCs w:val="22"/>
        </w:rPr>
      </w:pPr>
      <w:r w:rsidRPr="00187411">
        <w:rPr>
          <w:rFonts w:ascii="Times New Roman" w:hAnsi="Times New Roman"/>
          <w:sz w:val="22"/>
          <w:szCs w:val="22"/>
        </w:rPr>
        <w:t>Additional transmissions of NPSS/NSSS in subframes other than those used in Rel-13 for in-band, guard-band and standalone are not considered in Rel-15 for an anchor carrier</w:t>
      </w:r>
    </w:p>
    <w:p w14:paraId="4624705D" w14:textId="5580834A" w:rsidR="00E835D2" w:rsidRPr="00187411" w:rsidRDefault="0073097D" w:rsidP="006E577B">
      <w:pPr>
        <w:pStyle w:val="ListParagraph"/>
        <w:numPr>
          <w:ilvl w:val="0"/>
          <w:numId w:val="8"/>
        </w:numPr>
        <w:rPr>
          <w:rFonts w:ascii="Times New Roman" w:hAnsi="Times New Roman"/>
          <w:sz w:val="22"/>
          <w:szCs w:val="22"/>
        </w:rPr>
      </w:pPr>
      <w:r w:rsidRPr="00187411">
        <w:rPr>
          <w:rFonts w:ascii="Times New Roman" w:hAnsi="Times New Roman"/>
          <w:sz w:val="22"/>
          <w:szCs w:val="22"/>
        </w:rPr>
        <w:t>FFS: NPSS/NSSS transmission using unused 3-OFDM symbols in existing subframe#5,9 on anchor carrier at least for stand-alone and guard band modes</w:t>
      </w:r>
      <w:r w:rsidR="00E835D2" w:rsidRPr="00187411">
        <w:rPr>
          <w:rFonts w:ascii="Times New Roman" w:hAnsi="Times New Roman"/>
          <w:sz w:val="22"/>
          <w:szCs w:val="22"/>
        </w:rPr>
        <w:t>.</w:t>
      </w:r>
    </w:p>
    <w:p w14:paraId="0BE6CCF3" w14:textId="54926901" w:rsidR="0073097D" w:rsidRPr="00BB22CB" w:rsidRDefault="0073097D" w:rsidP="00EC02EC">
      <w:pPr>
        <w:rPr>
          <w:rFonts w:cs="Arial"/>
        </w:rPr>
      </w:pPr>
      <w:r>
        <w:rPr>
          <w:rFonts w:cs="Arial"/>
        </w:rPr>
        <w:t>In this contribution, we discuss the remaining issues.</w:t>
      </w:r>
    </w:p>
    <w:bookmarkEnd w:id="1"/>
    <w:p w14:paraId="431CCE30" w14:textId="48FA34AE" w:rsidR="00D0025C" w:rsidRDefault="00561FE2" w:rsidP="00040C32">
      <w:pPr>
        <w:pStyle w:val="Heading1"/>
      </w:pPr>
      <w:r>
        <w:t>General discussion</w:t>
      </w:r>
    </w:p>
    <w:p w14:paraId="2E99B295" w14:textId="39457150" w:rsidR="00835BD8" w:rsidRPr="00633EFB" w:rsidRDefault="00561FE2" w:rsidP="00EC02EC">
      <w:r>
        <w:t xml:space="preserve">Among the three NB-IoT deployment modes, the in-band deployment requires </w:t>
      </w:r>
      <w:r w:rsidR="00611383">
        <w:t>longer</w:t>
      </w:r>
      <w:r>
        <w:t xml:space="preserve"> system acquisition time</w:t>
      </w:r>
      <w:r w:rsidR="00835BD8">
        <w:t xml:space="preserve"> due to lower transmit power level and puncturing that may occur on NPSS a</w:t>
      </w:r>
      <w:r w:rsidR="00D83DCB">
        <w:t>nd NSSS resources. Additionally,</w:t>
      </w:r>
      <w:r w:rsidR="00835BD8">
        <w:t xml:space="preserve"> </w:t>
      </w:r>
      <w:r w:rsidR="00D83DCB" w:rsidRPr="00633EFB">
        <w:t>compared to the standalone and guard-band modes</w:t>
      </w:r>
      <w:r w:rsidR="00D83DCB">
        <w:t xml:space="preserve">, NPDSCH subframes in the in-band mode </w:t>
      </w:r>
      <w:r w:rsidR="00835BD8" w:rsidRPr="00633EFB">
        <w:t>h</w:t>
      </w:r>
      <w:r w:rsidR="00D83DCB">
        <w:t xml:space="preserve">ave fewer available resource elements </w:t>
      </w:r>
      <w:r w:rsidR="00835BD8" w:rsidRPr="00633EFB">
        <w:t>due to resources taken by LTE CRS or reserved for LTE downlink</w:t>
      </w:r>
      <w:r w:rsidR="00D83DCB">
        <w:t xml:space="preserve"> control region</w:t>
      </w:r>
      <w:r w:rsidR="00835BD8" w:rsidRPr="00633EFB">
        <w:t>. This results in a higher coding rate and thus a lower coding gain</w:t>
      </w:r>
      <w:r w:rsidR="00D83DCB">
        <w:t xml:space="preserve"> and reduced reception performance of SIB1-NB and SI messages</w:t>
      </w:r>
      <w:r w:rsidR="00835BD8" w:rsidRPr="00633EFB">
        <w:t>. Thus, improvement for system acquisition time reduction should primarily target the in-band mode.</w:t>
      </w:r>
      <w:r w:rsidR="00611383">
        <w:t xml:space="preserve"> </w:t>
      </w:r>
      <w:r w:rsidR="00611383" w:rsidRPr="00611383">
        <w:t xml:space="preserve">The solutions </w:t>
      </w:r>
      <w:r w:rsidR="00D83DCB">
        <w:t xml:space="preserve">that </w:t>
      </w:r>
      <w:r w:rsidR="00611383" w:rsidRPr="00611383">
        <w:t xml:space="preserve">can reduce the system acquisition time for </w:t>
      </w:r>
      <w:r w:rsidR="00611383">
        <w:t xml:space="preserve">the </w:t>
      </w:r>
      <w:r w:rsidR="00611383" w:rsidRPr="00611383">
        <w:t>in</w:t>
      </w:r>
      <w:r w:rsidR="00611383">
        <w:t>-band mode</w:t>
      </w:r>
      <w:r w:rsidR="00611383" w:rsidRPr="00611383">
        <w:t xml:space="preserve"> can be directly applied to </w:t>
      </w:r>
      <w:r w:rsidR="00611383">
        <w:t xml:space="preserve">the </w:t>
      </w:r>
      <w:r w:rsidR="00611383" w:rsidRPr="00611383">
        <w:t>guard</w:t>
      </w:r>
      <w:r w:rsidR="00611383">
        <w:t>-</w:t>
      </w:r>
      <w:r w:rsidR="00611383" w:rsidRPr="00611383">
        <w:t xml:space="preserve">band and standalone </w:t>
      </w:r>
      <w:r w:rsidR="00611383">
        <w:t>mode</w:t>
      </w:r>
      <w:r w:rsidR="00611383" w:rsidRPr="00611383">
        <w:t>s</w:t>
      </w:r>
      <w:r w:rsidR="00D83DCB">
        <w:t xml:space="preserve"> as well</w:t>
      </w:r>
      <w:r w:rsidR="00611383" w:rsidRPr="00611383">
        <w:t>.</w:t>
      </w:r>
    </w:p>
    <w:p w14:paraId="6CE1BC43" w14:textId="691EFE8B" w:rsidR="00835BD8" w:rsidRPr="00633EFB" w:rsidRDefault="00835BD8" w:rsidP="00EC02EC">
      <w:pPr>
        <w:rPr>
          <w:rFonts w:cs="Arial"/>
          <w:b/>
          <w:i/>
        </w:rPr>
      </w:pPr>
      <w:r w:rsidRPr="00633EFB">
        <w:rPr>
          <w:rFonts w:cs="Arial"/>
          <w:b/>
          <w:i/>
        </w:rPr>
        <w:t xml:space="preserve">Observation 1: </w:t>
      </w:r>
      <w:r w:rsidR="00611383">
        <w:rPr>
          <w:rFonts w:cs="Arial"/>
          <w:b/>
          <w:i/>
        </w:rPr>
        <w:t>I</w:t>
      </w:r>
      <w:r w:rsidR="00611383" w:rsidRPr="00611383">
        <w:rPr>
          <w:rFonts w:cs="Arial"/>
          <w:b/>
          <w:i/>
        </w:rPr>
        <w:t xml:space="preserve">mprovement for system acquisition time reduction should primarily target the in-band mode. The solutions </w:t>
      </w:r>
      <w:r w:rsidR="00D83DCB">
        <w:rPr>
          <w:rFonts w:cs="Arial"/>
          <w:b/>
          <w:i/>
        </w:rPr>
        <w:t xml:space="preserve">that </w:t>
      </w:r>
      <w:r w:rsidR="00611383" w:rsidRPr="00611383">
        <w:rPr>
          <w:rFonts w:cs="Arial"/>
          <w:b/>
          <w:i/>
        </w:rPr>
        <w:t>can reduce the system acquisition time for the in-band mode can be directly applied to the guard-band and standalone modes</w:t>
      </w:r>
      <w:r w:rsidR="00D83DCB">
        <w:rPr>
          <w:rFonts w:cs="Arial"/>
          <w:b/>
          <w:i/>
        </w:rPr>
        <w:t xml:space="preserve"> as well</w:t>
      </w:r>
      <w:r w:rsidR="00611383" w:rsidRPr="00611383">
        <w:rPr>
          <w:rFonts w:cs="Arial"/>
          <w:b/>
          <w:i/>
        </w:rPr>
        <w:t>.</w:t>
      </w:r>
    </w:p>
    <w:p w14:paraId="167B00ED" w14:textId="0DDDA5F8" w:rsidR="00835BD8" w:rsidRDefault="00835BD8" w:rsidP="00EC02EC">
      <w:r>
        <w:t xml:space="preserve">The process of system acquisition </w:t>
      </w:r>
      <w:r w:rsidR="00042F9B">
        <w:t xml:space="preserve">after the UE wakes up from deep </w:t>
      </w:r>
      <w:r>
        <w:t>sleep includes the following steps.</w:t>
      </w:r>
    </w:p>
    <w:p w14:paraId="343723BE" w14:textId="63F29AF7" w:rsidR="00835BD8" w:rsidRPr="00187411" w:rsidRDefault="00835BD8" w:rsidP="006E577B">
      <w:pPr>
        <w:pStyle w:val="ListParagraph"/>
        <w:numPr>
          <w:ilvl w:val="0"/>
          <w:numId w:val="6"/>
        </w:numPr>
        <w:rPr>
          <w:rFonts w:ascii="Times New Roman" w:hAnsi="Times New Roman"/>
          <w:sz w:val="22"/>
          <w:szCs w:val="22"/>
        </w:rPr>
      </w:pPr>
      <w:r w:rsidRPr="00187411">
        <w:rPr>
          <w:rFonts w:ascii="Times New Roman" w:hAnsi="Times New Roman"/>
          <w:sz w:val="22"/>
          <w:szCs w:val="22"/>
        </w:rPr>
        <w:t>Synchronize to NPSS</w:t>
      </w:r>
    </w:p>
    <w:p w14:paraId="06BC5015" w14:textId="4041A0CF" w:rsidR="00835BD8" w:rsidRPr="00187411" w:rsidRDefault="00835BD8" w:rsidP="006E577B">
      <w:pPr>
        <w:pStyle w:val="ListParagraph"/>
        <w:numPr>
          <w:ilvl w:val="0"/>
          <w:numId w:val="6"/>
        </w:numPr>
        <w:rPr>
          <w:rFonts w:ascii="Times New Roman" w:hAnsi="Times New Roman"/>
          <w:sz w:val="22"/>
          <w:szCs w:val="22"/>
        </w:rPr>
      </w:pPr>
      <w:r w:rsidRPr="00187411">
        <w:rPr>
          <w:rFonts w:ascii="Times New Roman" w:hAnsi="Times New Roman"/>
          <w:sz w:val="22"/>
          <w:szCs w:val="22"/>
        </w:rPr>
        <w:t>Synchronize to NSSS</w:t>
      </w:r>
    </w:p>
    <w:p w14:paraId="0B488481" w14:textId="22E2FE61" w:rsidR="00516E84" w:rsidRPr="00187411" w:rsidRDefault="00835BD8" w:rsidP="006E577B">
      <w:pPr>
        <w:pStyle w:val="ListParagraph"/>
        <w:numPr>
          <w:ilvl w:val="0"/>
          <w:numId w:val="6"/>
        </w:numPr>
        <w:rPr>
          <w:rFonts w:ascii="Times New Roman" w:hAnsi="Times New Roman"/>
          <w:sz w:val="22"/>
          <w:szCs w:val="22"/>
        </w:rPr>
      </w:pPr>
      <w:r w:rsidRPr="00187411">
        <w:rPr>
          <w:rFonts w:ascii="Times New Roman" w:hAnsi="Times New Roman"/>
          <w:sz w:val="22"/>
          <w:szCs w:val="22"/>
        </w:rPr>
        <w:t>Acquire MIB-NB th</w:t>
      </w:r>
      <w:r w:rsidR="00516E84" w:rsidRPr="00187411">
        <w:rPr>
          <w:rFonts w:ascii="Times New Roman" w:hAnsi="Times New Roman"/>
          <w:sz w:val="22"/>
          <w:szCs w:val="22"/>
        </w:rPr>
        <w:t>r</w:t>
      </w:r>
      <w:r w:rsidRPr="00187411">
        <w:rPr>
          <w:rFonts w:ascii="Times New Roman" w:hAnsi="Times New Roman"/>
          <w:sz w:val="22"/>
          <w:szCs w:val="22"/>
        </w:rPr>
        <w:t xml:space="preserve">ough receiving NPBCH. The UE can check </w:t>
      </w:r>
      <w:r w:rsidR="00766DE5" w:rsidRPr="00187411">
        <w:rPr>
          <w:rFonts w:ascii="Times New Roman" w:hAnsi="Times New Roman"/>
          <w:sz w:val="22"/>
          <w:szCs w:val="22"/>
        </w:rPr>
        <w:t xml:space="preserve">the system information (SI) value tag </w:t>
      </w:r>
      <w:r w:rsidR="00D01C7F" w:rsidRPr="00187411">
        <w:rPr>
          <w:rFonts w:ascii="Times New Roman" w:hAnsi="Times New Roman"/>
          <w:sz w:val="22"/>
          <w:szCs w:val="22"/>
        </w:rPr>
        <w:t xml:space="preserve">and access barring (AB) flag </w:t>
      </w:r>
      <w:r w:rsidR="00766DE5" w:rsidRPr="00187411">
        <w:rPr>
          <w:rFonts w:ascii="Times New Roman" w:hAnsi="Times New Roman"/>
          <w:sz w:val="22"/>
          <w:szCs w:val="22"/>
        </w:rPr>
        <w:t>in MIB-NB</w:t>
      </w:r>
      <w:r w:rsidR="00D01C7F" w:rsidRPr="00187411">
        <w:rPr>
          <w:rFonts w:ascii="Times New Roman" w:hAnsi="Times New Roman"/>
          <w:sz w:val="22"/>
          <w:szCs w:val="22"/>
        </w:rPr>
        <w:t xml:space="preserve">. If the SI value tag hasn’t changed and </w:t>
      </w:r>
      <w:r w:rsidR="00AD61CE" w:rsidRPr="00187411">
        <w:rPr>
          <w:rFonts w:ascii="Times New Roman" w:hAnsi="Times New Roman"/>
          <w:sz w:val="22"/>
          <w:szCs w:val="22"/>
        </w:rPr>
        <w:t xml:space="preserve">AB flag is </w:t>
      </w:r>
      <w:r w:rsidR="00BC0CD5" w:rsidRPr="00187411">
        <w:rPr>
          <w:rFonts w:ascii="Times New Roman" w:hAnsi="Times New Roman"/>
          <w:sz w:val="22"/>
          <w:szCs w:val="22"/>
        </w:rPr>
        <w:t>not enabled</w:t>
      </w:r>
      <w:r w:rsidR="00AD61CE" w:rsidRPr="00187411">
        <w:rPr>
          <w:rFonts w:ascii="Times New Roman" w:hAnsi="Times New Roman"/>
          <w:sz w:val="22"/>
          <w:szCs w:val="22"/>
        </w:rPr>
        <w:t>, the UE has completed the system acquisition process.</w:t>
      </w:r>
    </w:p>
    <w:p w14:paraId="093FFB99" w14:textId="0C430BE6" w:rsidR="00516E84" w:rsidRDefault="00B20909" w:rsidP="00EC02EC">
      <w:r>
        <w:t>According to TS 36.331, NB</w:t>
      </w:r>
      <w:r w:rsidR="004A27EF">
        <w:t>-</w:t>
      </w:r>
      <w:r>
        <w:t>IoT UE considers stored system information to be invalid after 24 hours from the moment it was successfully confirmed as valid.</w:t>
      </w:r>
      <w:r w:rsidR="004A27EF">
        <w:t xml:space="preserve"> Thus, every 24 hours, a NB-IoT </w:t>
      </w:r>
      <w:r w:rsidR="009A3C14">
        <w:t xml:space="preserve">UE </w:t>
      </w:r>
      <w:r w:rsidR="004A27EF">
        <w:t xml:space="preserve">needs to also </w:t>
      </w:r>
    </w:p>
    <w:p w14:paraId="78C82948" w14:textId="7B737253" w:rsidR="00B20909" w:rsidRPr="00187411" w:rsidRDefault="004A27EF" w:rsidP="006E577B">
      <w:pPr>
        <w:pStyle w:val="ListParagraph"/>
        <w:numPr>
          <w:ilvl w:val="0"/>
          <w:numId w:val="6"/>
        </w:numPr>
        <w:rPr>
          <w:rFonts w:ascii="Times New Roman" w:hAnsi="Times New Roman"/>
          <w:sz w:val="22"/>
          <w:szCs w:val="22"/>
        </w:rPr>
      </w:pPr>
      <w:r w:rsidRPr="00187411">
        <w:rPr>
          <w:rFonts w:ascii="Times New Roman" w:hAnsi="Times New Roman"/>
          <w:sz w:val="22"/>
          <w:szCs w:val="22"/>
        </w:rPr>
        <w:t>Acquire SIB1-NB to verify SI validity.</w:t>
      </w:r>
    </w:p>
    <w:p w14:paraId="5F931269" w14:textId="29FD948A" w:rsidR="00B20909" w:rsidRDefault="00A02DFD" w:rsidP="00EC02EC">
      <w:r>
        <w:t xml:space="preserve">Since MIB-NB and SI are rarely changed (except for SIB-14 and SIB-16), and although the AB flag can toggle more dynamically it is set </w:t>
      </w:r>
      <w:r w:rsidRPr="00633EFB">
        <w:t>false</w:t>
      </w:r>
      <w:r>
        <w:t xml:space="preserve"> much more often than set </w:t>
      </w:r>
      <w:r w:rsidRPr="00633EFB">
        <w:t>true</w:t>
      </w:r>
      <w:r>
        <w:t xml:space="preserve">, in most cases the UE only needs to go </w:t>
      </w:r>
      <w:r>
        <w:lastRenderedPageBreak/>
        <w:t xml:space="preserve">through the first three steps after it wakes up from deep sleep, or if the UE wakes up after spending in </w:t>
      </w:r>
      <w:r w:rsidR="009A3C14">
        <w:t xml:space="preserve">the </w:t>
      </w:r>
      <w:r>
        <w:t>PSM for more than 24 hours, it needs to acquire SIB1-NB to verify SI validity.</w:t>
      </w:r>
    </w:p>
    <w:p w14:paraId="5778338B" w14:textId="7E8F585D" w:rsidR="00B20909" w:rsidRDefault="00A02DFD" w:rsidP="00314D8B">
      <w:pPr>
        <w:pStyle w:val="Heading1"/>
      </w:pPr>
      <w:r>
        <w:t>NPSS/NSSS synchronization</w:t>
      </w:r>
    </w:p>
    <w:p w14:paraId="0C9ED820" w14:textId="4D83DCA1" w:rsidR="00E835D2" w:rsidRDefault="00E835D2" w:rsidP="009057D1">
      <w:r w:rsidRPr="00E835D2">
        <w:t xml:space="preserve">NPSS/NSSS transmission using </w:t>
      </w:r>
      <w:r w:rsidR="00E571DF">
        <w:t xml:space="preserve">the 3 unused </w:t>
      </w:r>
      <w:r w:rsidRPr="00E835D2">
        <w:t>OFDM symbols in existing subframe</w:t>
      </w:r>
      <w:r>
        <w:t>s carrying NPSS and NSSS can be considered only for standalone and guard-</w:t>
      </w:r>
      <w:r w:rsidRPr="0073097D">
        <w:t>band modes</w:t>
      </w:r>
      <w:r>
        <w:t xml:space="preserve">. As mentioned earlier, it is however the in-band mode that has by far the longest synchronization time. Table 1 shows synchronization time </w:t>
      </w:r>
      <w:r w:rsidR="00E571DF">
        <w:t>required</w:t>
      </w:r>
      <w:r>
        <w:t xml:space="preserve"> for standalone and in-band mode</w:t>
      </w:r>
      <w:r w:rsidR="0033211A">
        <w:t>s</w:t>
      </w:r>
      <w:r>
        <w:t xml:space="preserve"> at 164 dB coupling loss.</w:t>
      </w:r>
      <w:r w:rsidR="00E571DF">
        <w:t xml:space="preserve"> The 90</w:t>
      </w:r>
      <w:r w:rsidR="00E571DF" w:rsidRPr="00E571DF">
        <w:rPr>
          <w:vertAlign w:val="superscript"/>
        </w:rPr>
        <w:t>th</w:t>
      </w:r>
      <w:r w:rsidR="00E571DF">
        <w:t xml:space="preserve">-percentile synchronization time for </w:t>
      </w:r>
      <w:r w:rsidR="0033211A">
        <w:t xml:space="preserve">the </w:t>
      </w:r>
      <w:r w:rsidR="00E571DF">
        <w:t xml:space="preserve">in-band </w:t>
      </w:r>
      <w:r w:rsidR="0033211A">
        <w:t>mode</w:t>
      </w:r>
      <w:r w:rsidR="00E571DF">
        <w:t xml:space="preserve"> for example is more than 1 second longer than that for standalone.</w:t>
      </w:r>
    </w:p>
    <w:p w14:paraId="1DFAE7AC" w14:textId="66FF2072" w:rsidR="00E571DF" w:rsidRDefault="009124A8" w:rsidP="009057D1">
      <w:r>
        <w:t>Although u</w:t>
      </w:r>
      <w:r w:rsidR="00E571DF">
        <w:t xml:space="preserve">sing the 3 unused </w:t>
      </w:r>
      <w:r w:rsidR="00E571DF" w:rsidRPr="00E44B57">
        <w:t>OFDM symbols</w:t>
      </w:r>
      <w:r>
        <w:t xml:space="preserve"> for NPSS </w:t>
      </w:r>
      <w:r w:rsidR="00E571DF">
        <w:t xml:space="preserve">may improve the performance of Rel-15 UEs in the standalone and guard-band modes, it may actually cause confusion to Rel-13 UEs. The confusion arises due to the change of NPSS cover-code auto-correlation properties and may negatively impact Rel-13 UE synchronization performance. </w:t>
      </w:r>
      <w:r w:rsidR="00D439EE">
        <w:t xml:space="preserve">Such a negative impact may degrade Rel-13 UEs performance in the in-band mode. </w:t>
      </w:r>
      <w:r w:rsidR="00E571DF">
        <w:t>Considering that such an approach does not improve in-band performance and may potentially negatively impact Rel-13 UE performance</w:t>
      </w:r>
      <w:r w:rsidR="00D439EE">
        <w:t xml:space="preserve"> in the in-band mode</w:t>
      </w:r>
      <w:r w:rsidR="00E571DF">
        <w:t xml:space="preserve">, we propose that Rel-15 does not consider using the 3 unused OFDM symbols in subframes carrying NPSS/NSSS for additional </w:t>
      </w:r>
      <w:r w:rsidR="00E571DF" w:rsidRPr="00E571DF">
        <w:t>NPSS/NSSS transmission</w:t>
      </w:r>
      <w:r w:rsidR="00FB6D8A">
        <w:t>s.</w:t>
      </w:r>
    </w:p>
    <w:p w14:paraId="1D0C43A2" w14:textId="67C09C84" w:rsidR="00FB6D8A" w:rsidRDefault="00FB6D8A" w:rsidP="009057D1"/>
    <w:p w14:paraId="634167A4" w14:textId="5AEF6499" w:rsidR="00FB6D8A" w:rsidRPr="002C3EC8" w:rsidRDefault="00FB6D8A" w:rsidP="009057D1">
      <w:pPr>
        <w:rPr>
          <w:b/>
          <w:i/>
        </w:rPr>
      </w:pPr>
      <w:r w:rsidRPr="002C3EC8">
        <w:rPr>
          <w:b/>
          <w:i/>
        </w:rPr>
        <w:t>Proposal 1: Rel-15 does not consider using the 3 unused OFDM symbols in subframes carrying NPSS/NSSS for additional NPSS/NSSS transmissions.</w:t>
      </w:r>
    </w:p>
    <w:p w14:paraId="58ED33AD" w14:textId="3F78BBFF" w:rsidR="00E835D2" w:rsidRDefault="00E835D2" w:rsidP="00B20909">
      <w:pPr>
        <w:pStyle w:val="BodyText"/>
        <w:rPr>
          <w:rFonts w:cs="Arial"/>
          <w:lang w:val="en-US"/>
        </w:rPr>
      </w:pPr>
    </w:p>
    <w:p w14:paraId="15D0EF98" w14:textId="40FB71FB" w:rsidR="00E835D2" w:rsidRPr="003D5A36" w:rsidRDefault="00E835D2" w:rsidP="003D5A36">
      <w:pPr>
        <w:pStyle w:val="BodyText"/>
        <w:jc w:val="center"/>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Pr="003D5A36">
        <w:rPr>
          <w:rFonts w:ascii="Times New Roman" w:eastAsia="MS Mincho" w:hAnsi="Times New Roman"/>
          <w:b/>
          <w:bCs/>
          <w:lang w:val="en-US" w:eastAsia="ja-JP"/>
        </w:rPr>
        <w:fldChar w:fldCharType="begin"/>
      </w:r>
      <w:r w:rsidRPr="003D5A36">
        <w:rPr>
          <w:rFonts w:ascii="Times New Roman" w:eastAsia="MS Mincho" w:hAnsi="Times New Roman"/>
          <w:b/>
          <w:bCs/>
          <w:lang w:val="en-US" w:eastAsia="ja-JP"/>
        </w:rPr>
        <w:instrText xml:space="preserve"> SEQ Table \* ARABIC </w:instrText>
      </w:r>
      <w:r w:rsidRPr="003D5A36">
        <w:rPr>
          <w:rFonts w:ascii="Times New Roman" w:eastAsia="MS Mincho" w:hAnsi="Times New Roman"/>
          <w:b/>
          <w:bCs/>
          <w:lang w:val="en-US" w:eastAsia="ja-JP"/>
        </w:rPr>
        <w:fldChar w:fldCharType="separate"/>
      </w:r>
      <w:r w:rsidR="00DB7A42">
        <w:rPr>
          <w:rFonts w:ascii="Times New Roman" w:eastAsia="MS Mincho" w:hAnsi="Times New Roman"/>
          <w:b/>
          <w:bCs/>
          <w:noProof/>
          <w:lang w:val="en-US" w:eastAsia="ja-JP"/>
        </w:rPr>
        <w:t>1</w:t>
      </w:r>
      <w:r w:rsidRPr="003D5A36">
        <w:rPr>
          <w:rFonts w:ascii="Times New Roman" w:eastAsia="MS Mincho" w:hAnsi="Times New Roman"/>
          <w:b/>
          <w:bCs/>
          <w:lang w:val="en-US" w:eastAsia="ja-JP"/>
        </w:rPr>
        <w:fldChar w:fldCharType="end"/>
      </w:r>
      <w:r w:rsidR="00B8745B" w:rsidRPr="003D5A36">
        <w:rPr>
          <w:rFonts w:ascii="Times New Roman" w:eastAsia="MS Mincho" w:hAnsi="Times New Roman"/>
          <w:b/>
          <w:bCs/>
          <w:lang w:val="en-US" w:eastAsia="ja-JP"/>
        </w:rPr>
        <w:t>: Required s</w:t>
      </w:r>
      <w:r w:rsidRPr="003D5A36">
        <w:rPr>
          <w:rFonts w:ascii="Times New Roman" w:eastAsia="MS Mincho" w:hAnsi="Times New Roman"/>
          <w:b/>
          <w:bCs/>
          <w:lang w:val="en-US" w:eastAsia="ja-JP"/>
        </w:rPr>
        <w:t>ynchronization time</w:t>
      </w:r>
      <w:r w:rsidR="00B8745B" w:rsidRPr="003D5A36">
        <w:rPr>
          <w:rFonts w:ascii="Times New Roman" w:eastAsia="MS Mincho" w:hAnsi="Times New Roman"/>
          <w:b/>
          <w:bCs/>
          <w:lang w:val="en-US" w:eastAsia="ja-JP"/>
        </w:rPr>
        <w:t xml:space="preserve"> in NB-IoT standalone and in-band deployment modes. (20 ppm oscillator accuracy assumed)</w:t>
      </w:r>
    </w:p>
    <w:tbl>
      <w:tblPr>
        <w:tblStyle w:val="TableGrid"/>
        <w:tblW w:w="0" w:type="auto"/>
        <w:tblInd w:w="625" w:type="dxa"/>
        <w:tblLook w:val="04A0" w:firstRow="1" w:lastRow="0" w:firstColumn="1" w:lastColumn="0" w:noHBand="0" w:noVBand="1"/>
      </w:tblPr>
      <w:tblGrid>
        <w:gridCol w:w="2970"/>
        <w:gridCol w:w="1890"/>
        <w:gridCol w:w="1890"/>
        <w:gridCol w:w="1890"/>
      </w:tblGrid>
      <w:tr w:rsidR="009F0A3D" w14:paraId="3A746956" w14:textId="77777777" w:rsidTr="001B591D">
        <w:tc>
          <w:tcPr>
            <w:tcW w:w="2970" w:type="dxa"/>
          </w:tcPr>
          <w:p w14:paraId="0140B753" w14:textId="77777777" w:rsidR="009F0A3D" w:rsidRDefault="009F0A3D" w:rsidP="009F0A3D">
            <w:pPr>
              <w:pStyle w:val="BodyText"/>
              <w:rPr>
                <w:rFonts w:cs="Arial"/>
                <w:lang w:val="en-US"/>
              </w:rPr>
            </w:pPr>
          </w:p>
        </w:tc>
        <w:tc>
          <w:tcPr>
            <w:tcW w:w="1890" w:type="dxa"/>
          </w:tcPr>
          <w:p w14:paraId="6A300F4B" w14:textId="77777777" w:rsidR="009F0A3D" w:rsidRDefault="009F0A3D" w:rsidP="009F0A3D">
            <w:pPr>
              <w:pStyle w:val="BodyText"/>
              <w:jc w:val="center"/>
              <w:rPr>
                <w:rFonts w:cs="Arial"/>
                <w:lang w:val="en-US"/>
              </w:rPr>
            </w:pPr>
            <w:r>
              <w:rPr>
                <w:rFonts w:cs="Arial"/>
                <w:lang w:val="en-US"/>
              </w:rPr>
              <w:t>Standalone</w:t>
            </w:r>
          </w:p>
          <w:p w14:paraId="2AC5A30D" w14:textId="66E494DF" w:rsidR="009F0A3D" w:rsidRDefault="009F0A3D" w:rsidP="009F0A3D">
            <w:pPr>
              <w:pStyle w:val="BodyText"/>
              <w:jc w:val="center"/>
              <w:rPr>
                <w:rFonts w:cs="Arial"/>
                <w:lang w:val="en-US"/>
              </w:rPr>
            </w:pPr>
            <w:r>
              <w:rPr>
                <w:rFonts w:cs="Arial"/>
                <w:lang w:val="en-US"/>
              </w:rPr>
              <w:t>(164 dB coupling loss)</w:t>
            </w:r>
          </w:p>
        </w:tc>
        <w:tc>
          <w:tcPr>
            <w:tcW w:w="1890" w:type="dxa"/>
          </w:tcPr>
          <w:p w14:paraId="58656021" w14:textId="4715B7BF" w:rsidR="009F0A3D" w:rsidRDefault="009F0A3D" w:rsidP="009F0A3D">
            <w:pPr>
              <w:pStyle w:val="BodyText"/>
              <w:jc w:val="center"/>
              <w:rPr>
                <w:rFonts w:cs="Arial"/>
                <w:lang w:val="en-US"/>
              </w:rPr>
            </w:pPr>
            <w:r>
              <w:rPr>
                <w:rFonts w:cs="Arial"/>
                <w:lang w:val="en-US"/>
              </w:rPr>
              <w:t>Guard-band</w:t>
            </w:r>
          </w:p>
          <w:p w14:paraId="5EDC0F89" w14:textId="4425AE3A" w:rsidR="009F0A3D" w:rsidRDefault="009F0A3D" w:rsidP="009F0A3D">
            <w:pPr>
              <w:pStyle w:val="BodyText"/>
              <w:jc w:val="center"/>
              <w:rPr>
                <w:rFonts w:cs="Arial"/>
                <w:lang w:val="en-US"/>
              </w:rPr>
            </w:pPr>
            <w:r>
              <w:rPr>
                <w:rFonts w:cs="Arial"/>
                <w:lang w:val="en-US"/>
              </w:rPr>
              <w:t>(164 dB coupling loss)</w:t>
            </w:r>
          </w:p>
        </w:tc>
        <w:tc>
          <w:tcPr>
            <w:tcW w:w="1890" w:type="dxa"/>
          </w:tcPr>
          <w:p w14:paraId="1566DFE8" w14:textId="1CED838A" w:rsidR="009F0A3D" w:rsidRDefault="009F0A3D" w:rsidP="009F0A3D">
            <w:pPr>
              <w:pStyle w:val="BodyText"/>
              <w:jc w:val="center"/>
              <w:rPr>
                <w:rFonts w:cs="Arial"/>
                <w:lang w:val="en-US"/>
              </w:rPr>
            </w:pPr>
            <w:r>
              <w:rPr>
                <w:rFonts w:cs="Arial"/>
                <w:lang w:val="en-US"/>
              </w:rPr>
              <w:t>In-band</w:t>
            </w:r>
          </w:p>
          <w:p w14:paraId="7B0CF087" w14:textId="1B227ECB" w:rsidR="009F0A3D" w:rsidRDefault="009F0A3D" w:rsidP="009F0A3D">
            <w:pPr>
              <w:pStyle w:val="BodyText"/>
              <w:jc w:val="center"/>
              <w:rPr>
                <w:rFonts w:cs="Arial"/>
                <w:lang w:val="en-US"/>
              </w:rPr>
            </w:pPr>
            <w:r>
              <w:rPr>
                <w:rFonts w:cs="Arial"/>
                <w:lang w:val="en-US"/>
              </w:rPr>
              <w:t>(164 dB coupling loss)</w:t>
            </w:r>
          </w:p>
        </w:tc>
      </w:tr>
      <w:tr w:rsidR="009F0A3D" w14:paraId="3886EA66" w14:textId="77777777" w:rsidTr="001B591D">
        <w:tc>
          <w:tcPr>
            <w:tcW w:w="2970" w:type="dxa"/>
          </w:tcPr>
          <w:p w14:paraId="1EF9D4E5" w14:textId="709C37E6" w:rsidR="009F0A3D" w:rsidRDefault="009F0A3D" w:rsidP="009F0A3D">
            <w:pPr>
              <w:pStyle w:val="BodyText"/>
              <w:rPr>
                <w:rFonts w:cs="Arial"/>
                <w:lang w:val="en-US"/>
              </w:rPr>
            </w:pPr>
            <w:r>
              <w:rPr>
                <w:rFonts w:cs="Arial"/>
                <w:lang w:val="en-US"/>
              </w:rPr>
              <w:t>Target SNR</w:t>
            </w:r>
          </w:p>
        </w:tc>
        <w:tc>
          <w:tcPr>
            <w:tcW w:w="1890" w:type="dxa"/>
          </w:tcPr>
          <w:p w14:paraId="7169280F" w14:textId="194BDC5E" w:rsidR="009F0A3D" w:rsidRDefault="009F0A3D" w:rsidP="009F0A3D">
            <w:pPr>
              <w:pStyle w:val="BodyText"/>
              <w:rPr>
                <w:rFonts w:cs="Arial"/>
                <w:lang w:val="en-US"/>
              </w:rPr>
            </w:pPr>
            <w:r>
              <w:rPr>
                <w:rFonts w:cs="Arial"/>
                <w:lang w:val="en-US"/>
              </w:rPr>
              <w:t>-4.6 dB</w:t>
            </w:r>
          </w:p>
        </w:tc>
        <w:tc>
          <w:tcPr>
            <w:tcW w:w="1890" w:type="dxa"/>
          </w:tcPr>
          <w:p w14:paraId="0FA47DE8" w14:textId="7499B18C" w:rsidR="009F0A3D" w:rsidRDefault="009F0A3D" w:rsidP="009F0A3D">
            <w:pPr>
              <w:pStyle w:val="BodyText"/>
              <w:rPr>
                <w:rFonts w:cs="Arial"/>
                <w:lang w:val="en-US"/>
              </w:rPr>
            </w:pPr>
            <w:r>
              <w:rPr>
                <w:rFonts w:cs="Arial"/>
                <w:lang w:val="en-US"/>
              </w:rPr>
              <w:t>-12.6 dB</w:t>
            </w:r>
          </w:p>
        </w:tc>
        <w:tc>
          <w:tcPr>
            <w:tcW w:w="1890" w:type="dxa"/>
          </w:tcPr>
          <w:p w14:paraId="6A32C39A" w14:textId="3B4CE2C5" w:rsidR="009F0A3D" w:rsidRDefault="009F0A3D" w:rsidP="009F0A3D">
            <w:pPr>
              <w:pStyle w:val="BodyText"/>
              <w:rPr>
                <w:rFonts w:cs="Arial"/>
                <w:lang w:val="en-US"/>
              </w:rPr>
            </w:pPr>
            <w:r>
              <w:rPr>
                <w:rFonts w:cs="Arial"/>
                <w:lang w:val="en-US"/>
              </w:rPr>
              <w:t>-12.6 dB</w:t>
            </w:r>
          </w:p>
        </w:tc>
      </w:tr>
      <w:tr w:rsidR="009F0A3D" w14:paraId="548E2908" w14:textId="77777777" w:rsidTr="001B591D">
        <w:tc>
          <w:tcPr>
            <w:tcW w:w="2970" w:type="dxa"/>
          </w:tcPr>
          <w:p w14:paraId="2ADB23C5" w14:textId="65B41F67" w:rsidR="009F0A3D" w:rsidRDefault="009F0A3D" w:rsidP="009F0A3D">
            <w:pPr>
              <w:pStyle w:val="BodyText"/>
              <w:rPr>
                <w:rFonts w:cs="Arial"/>
                <w:lang w:val="en-US"/>
              </w:rPr>
            </w:pPr>
            <w:r>
              <w:rPr>
                <w:rFonts w:cs="Arial"/>
                <w:lang w:val="en-US"/>
              </w:rPr>
              <w:t>Synchronization time (90</w:t>
            </w:r>
            <w:r w:rsidRPr="00E835D2">
              <w:rPr>
                <w:rFonts w:cs="Arial"/>
                <w:vertAlign w:val="superscript"/>
                <w:lang w:val="en-US"/>
              </w:rPr>
              <w:t>th</w:t>
            </w:r>
            <w:r>
              <w:rPr>
                <w:rFonts w:cs="Arial"/>
                <w:lang w:val="en-US"/>
              </w:rPr>
              <w:t>-percentile UEs)</w:t>
            </w:r>
          </w:p>
        </w:tc>
        <w:tc>
          <w:tcPr>
            <w:tcW w:w="1890" w:type="dxa"/>
          </w:tcPr>
          <w:p w14:paraId="33F818CE" w14:textId="25BD045B" w:rsidR="009F0A3D" w:rsidRDefault="009F0A3D" w:rsidP="009F0A3D">
            <w:pPr>
              <w:pStyle w:val="BodyText"/>
              <w:rPr>
                <w:rFonts w:cs="Arial"/>
                <w:lang w:val="en-US"/>
              </w:rPr>
            </w:pPr>
            <w:r>
              <w:rPr>
                <w:rFonts w:cs="Arial"/>
                <w:lang w:val="en-US"/>
              </w:rPr>
              <w:t>264 ms</w:t>
            </w:r>
          </w:p>
        </w:tc>
        <w:tc>
          <w:tcPr>
            <w:tcW w:w="1890" w:type="dxa"/>
          </w:tcPr>
          <w:p w14:paraId="00B278F9" w14:textId="0491D558" w:rsidR="009F0A3D" w:rsidRDefault="009F0A3D" w:rsidP="009F0A3D">
            <w:pPr>
              <w:pStyle w:val="BodyText"/>
              <w:rPr>
                <w:rFonts w:cs="Arial"/>
                <w:lang w:val="en-US"/>
              </w:rPr>
            </w:pPr>
            <w:r>
              <w:rPr>
                <w:rFonts w:cs="Arial"/>
                <w:lang w:val="en-US"/>
              </w:rPr>
              <w:t>1014 ms</w:t>
            </w:r>
          </w:p>
        </w:tc>
        <w:tc>
          <w:tcPr>
            <w:tcW w:w="1890" w:type="dxa"/>
          </w:tcPr>
          <w:p w14:paraId="4FDC6150" w14:textId="347ED4B2" w:rsidR="009F0A3D" w:rsidRDefault="009F0A3D" w:rsidP="009F0A3D">
            <w:pPr>
              <w:pStyle w:val="BodyText"/>
              <w:rPr>
                <w:rFonts w:cs="Arial"/>
                <w:lang w:val="en-US"/>
              </w:rPr>
            </w:pPr>
            <w:r>
              <w:rPr>
                <w:rFonts w:cs="Arial"/>
                <w:lang w:val="en-US"/>
              </w:rPr>
              <w:t>1284 ms</w:t>
            </w:r>
          </w:p>
        </w:tc>
      </w:tr>
      <w:tr w:rsidR="009F0A3D" w14:paraId="37E49D4A" w14:textId="77777777" w:rsidTr="001B591D">
        <w:tc>
          <w:tcPr>
            <w:tcW w:w="2970" w:type="dxa"/>
          </w:tcPr>
          <w:p w14:paraId="6CC8F21E" w14:textId="638815FB" w:rsidR="009F0A3D" w:rsidRDefault="009F0A3D" w:rsidP="009F0A3D">
            <w:pPr>
              <w:pStyle w:val="BodyText"/>
              <w:rPr>
                <w:rFonts w:cs="Arial"/>
                <w:lang w:val="en-US"/>
              </w:rPr>
            </w:pPr>
            <w:r>
              <w:rPr>
                <w:rFonts w:cs="Arial"/>
                <w:lang w:val="en-US"/>
              </w:rPr>
              <w:t>Average synchronization time</w:t>
            </w:r>
          </w:p>
        </w:tc>
        <w:tc>
          <w:tcPr>
            <w:tcW w:w="1890" w:type="dxa"/>
          </w:tcPr>
          <w:p w14:paraId="73FD5D69" w14:textId="58B5C82B" w:rsidR="009F0A3D" w:rsidRDefault="009F0A3D" w:rsidP="009F0A3D">
            <w:pPr>
              <w:pStyle w:val="BodyText"/>
              <w:rPr>
                <w:rFonts w:cs="Arial"/>
                <w:lang w:val="en-US"/>
              </w:rPr>
            </w:pPr>
            <w:r>
              <w:rPr>
                <w:rFonts w:cs="Arial"/>
                <w:lang w:val="en-US"/>
              </w:rPr>
              <w:t>118 ms</w:t>
            </w:r>
          </w:p>
        </w:tc>
        <w:tc>
          <w:tcPr>
            <w:tcW w:w="1890" w:type="dxa"/>
          </w:tcPr>
          <w:p w14:paraId="4126BEBF" w14:textId="19996B08" w:rsidR="009F0A3D" w:rsidRDefault="009F0A3D" w:rsidP="009F0A3D">
            <w:pPr>
              <w:pStyle w:val="BodyText"/>
              <w:rPr>
                <w:rFonts w:cs="Arial"/>
                <w:lang w:val="en-US"/>
              </w:rPr>
            </w:pPr>
            <w:r>
              <w:rPr>
                <w:rFonts w:cs="Arial"/>
                <w:lang w:val="en-US"/>
              </w:rPr>
              <w:t>470 ms</w:t>
            </w:r>
          </w:p>
        </w:tc>
        <w:tc>
          <w:tcPr>
            <w:tcW w:w="1890" w:type="dxa"/>
          </w:tcPr>
          <w:p w14:paraId="59F5705E" w14:textId="5A041712" w:rsidR="009F0A3D" w:rsidRDefault="009F0A3D" w:rsidP="009F0A3D">
            <w:pPr>
              <w:pStyle w:val="BodyText"/>
              <w:rPr>
                <w:rFonts w:cs="Arial"/>
                <w:lang w:val="en-US"/>
              </w:rPr>
            </w:pPr>
            <w:r>
              <w:rPr>
                <w:rFonts w:cs="Arial"/>
                <w:lang w:val="en-US"/>
              </w:rPr>
              <w:t>582 ms</w:t>
            </w:r>
          </w:p>
        </w:tc>
      </w:tr>
    </w:tbl>
    <w:p w14:paraId="394E39F8" w14:textId="0BC86E95" w:rsidR="00E835D2" w:rsidRDefault="00E835D2" w:rsidP="00B20909">
      <w:pPr>
        <w:pStyle w:val="BodyText"/>
        <w:rPr>
          <w:rFonts w:cs="Arial"/>
          <w:lang w:val="en-US"/>
        </w:rPr>
      </w:pPr>
    </w:p>
    <w:p w14:paraId="46A1E8DD" w14:textId="78CF4C6C" w:rsidR="00E835D2" w:rsidRDefault="00A02DFD" w:rsidP="00A02DFD">
      <w:pPr>
        <w:pStyle w:val="Heading1"/>
      </w:pPr>
      <w:r>
        <w:t>MIB-NB acquisition</w:t>
      </w:r>
    </w:p>
    <w:p w14:paraId="0623E953" w14:textId="73C039AC" w:rsidR="00E835D2" w:rsidRDefault="002C3EC8" w:rsidP="009057D1">
      <w:r>
        <w:t>The methods below may be considered for improving MIB-NB acquisition.</w:t>
      </w:r>
    </w:p>
    <w:p w14:paraId="30717BB0" w14:textId="1C4F8FA6" w:rsidR="002C3EC8" w:rsidRPr="00187411" w:rsidRDefault="002C3EC8" w:rsidP="006E577B">
      <w:pPr>
        <w:pStyle w:val="ListParagraph"/>
        <w:numPr>
          <w:ilvl w:val="0"/>
          <w:numId w:val="7"/>
        </w:numPr>
        <w:rPr>
          <w:rFonts w:ascii="Times New Roman" w:hAnsi="Times New Roman"/>
          <w:sz w:val="22"/>
          <w:szCs w:val="22"/>
        </w:rPr>
      </w:pPr>
      <w:r w:rsidRPr="00187411">
        <w:rPr>
          <w:rFonts w:ascii="Times New Roman" w:hAnsi="Times New Roman"/>
          <w:sz w:val="22"/>
          <w:szCs w:val="22"/>
        </w:rPr>
        <w:t>Improved channel estimation, e.g. cross-subframe channel estimation.</w:t>
      </w:r>
    </w:p>
    <w:p w14:paraId="40E786F3" w14:textId="3813C9BE" w:rsidR="002C3EC8" w:rsidRPr="00187411" w:rsidRDefault="002C3EC8" w:rsidP="006E577B">
      <w:pPr>
        <w:pStyle w:val="ListParagraph"/>
        <w:numPr>
          <w:ilvl w:val="0"/>
          <w:numId w:val="7"/>
        </w:numPr>
        <w:rPr>
          <w:rFonts w:ascii="Times New Roman" w:hAnsi="Times New Roman"/>
          <w:sz w:val="22"/>
          <w:szCs w:val="22"/>
        </w:rPr>
      </w:pPr>
      <w:r w:rsidRPr="00187411">
        <w:rPr>
          <w:rFonts w:ascii="Times New Roman" w:hAnsi="Times New Roman"/>
          <w:sz w:val="22"/>
          <w:szCs w:val="22"/>
        </w:rPr>
        <w:t xml:space="preserve">Improved NPBCH decoding, e.g., combining received NPBCH codewords </w:t>
      </w:r>
      <w:r w:rsidR="0033211A" w:rsidRPr="00187411">
        <w:rPr>
          <w:rFonts w:ascii="Times New Roman" w:hAnsi="Times New Roman"/>
          <w:sz w:val="22"/>
          <w:szCs w:val="22"/>
        </w:rPr>
        <w:t xml:space="preserve">in </w:t>
      </w:r>
      <w:r w:rsidRPr="00187411">
        <w:rPr>
          <w:rFonts w:ascii="Times New Roman" w:hAnsi="Times New Roman"/>
          <w:sz w:val="22"/>
          <w:szCs w:val="22"/>
        </w:rPr>
        <w:t>multiple NPBCH TTI’s or assuming that certain information has not changed</w:t>
      </w:r>
    </w:p>
    <w:p w14:paraId="5AA5B445" w14:textId="3D0942CA" w:rsidR="002C3EC8" w:rsidRPr="00187411" w:rsidRDefault="002C3EC8" w:rsidP="006E577B">
      <w:pPr>
        <w:pStyle w:val="ListParagraph"/>
        <w:numPr>
          <w:ilvl w:val="0"/>
          <w:numId w:val="7"/>
        </w:numPr>
        <w:rPr>
          <w:rFonts w:ascii="Times New Roman" w:hAnsi="Times New Roman"/>
          <w:sz w:val="22"/>
          <w:szCs w:val="22"/>
        </w:rPr>
      </w:pPr>
      <w:r w:rsidRPr="00187411">
        <w:rPr>
          <w:rFonts w:ascii="Times New Roman" w:hAnsi="Times New Roman"/>
          <w:sz w:val="22"/>
          <w:szCs w:val="22"/>
        </w:rPr>
        <w:t>Using more NPBCH repetitions.</w:t>
      </w:r>
    </w:p>
    <w:p w14:paraId="4A7480A3" w14:textId="25AB76BC" w:rsidR="00BE0C91" w:rsidRPr="00BE0C91" w:rsidRDefault="002C3EC8" w:rsidP="009057D1">
      <w:r>
        <w:t xml:space="preserve">We will discuss the first two approaches </w:t>
      </w:r>
      <w:r w:rsidR="00817A8C">
        <w:t>in more details in sections 4.1 and 4.2</w:t>
      </w:r>
      <w:r>
        <w:t>. Regarding using more NPBCH repetitions, it is important to recognize that f</w:t>
      </w:r>
      <w:r w:rsidR="00BE0C91">
        <w:t xml:space="preserve">or in-band deployment, the </w:t>
      </w:r>
      <w:r w:rsidR="00CD6908">
        <w:t xml:space="preserve">total overhead on a </w:t>
      </w:r>
      <w:r w:rsidR="00BE0C91" w:rsidRPr="00BE0C91">
        <w:t>Rel-13 NB-IoT anchor carrier</w:t>
      </w:r>
      <w:r w:rsidR="00CD6908">
        <w:t xml:space="preserve"> can be very high</w:t>
      </w:r>
      <w:r w:rsidR="00BE0C91" w:rsidRPr="00BE0C91">
        <w:t>,</w:t>
      </w:r>
      <w:r w:rsidR="00CD6908">
        <w:t xml:space="preserve"> as illustrated in </w:t>
      </w:r>
      <w:r w:rsidR="00E86724">
        <w:t xml:space="preserve">the example in </w:t>
      </w:r>
      <w:r>
        <w:t>Table 2</w:t>
      </w:r>
      <w:r w:rsidR="00CD6908">
        <w:t>. As seen,</w:t>
      </w:r>
      <w:r w:rsidR="00BE0C91" w:rsidRPr="00BE0C91">
        <w:t xml:space="preserve"> the percentage of resource elements available for NPDCCH/NPDSCH symbols, excluding those carrying SIB1-NB, may be as small as 42% in the worst-case scenario (in-band, 3 OFDM symbols for LTE PDCCH, and 4 CRS ports). Using more NPBCH </w:t>
      </w:r>
      <w:r>
        <w:t>subframes</w:t>
      </w:r>
      <w:r w:rsidR="00BE0C91" w:rsidRPr="00BE0C91">
        <w:t xml:space="preserve"> will further reduce the percentage of resource elements available for NPDCCH/NPDSCH.</w:t>
      </w:r>
    </w:p>
    <w:p w14:paraId="7277D583" w14:textId="77777777" w:rsidR="00BE0C91" w:rsidRDefault="00BE0C91" w:rsidP="00BE0C91">
      <w:pPr>
        <w:pStyle w:val="BodyText"/>
        <w:rPr>
          <w:rFonts w:eastAsia="MS Mincho"/>
          <w:lang w:val="en-US" w:eastAsia="ja-JP"/>
        </w:rPr>
      </w:pPr>
    </w:p>
    <w:p w14:paraId="7A46FCCB" w14:textId="0A9D90AC" w:rsidR="00BE0C91" w:rsidRPr="003D5A36" w:rsidRDefault="00BE0C91" w:rsidP="003D5A36">
      <w:pPr>
        <w:pStyle w:val="BodyText"/>
        <w:jc w:val="center"/>
        <w:rPr>
          <w:rFonts w:ascii="Times New Roman" w:eastAsia="MS Mincho" w:hAnsi="Times New Roman"/>
          <w:b/>
          <w:bCs/>
          <w:lang w:val="en-US" w:eastAsia="ja-JP"/>
        </w:rPr>
      </w:pPr>
      <w:r w:rsidRPr="003D5A36">
        <w:rPr>
          <w:rFonts w:ascii="Times New Roman" w:eastAsia="MS Mincho" w:hAnsi="Times New Roman"/>
          <w:b/>
          <w:bCs/>
          <w:lang w:val="en-US" w:eastAsia="ja-JP"/>
        </w:rPr>
        <w:lastRenderedPageBreak/>
        <w:t xml:space="preserve">Table </w:t>
      </w:r>
      <w:r w:rsidR="002C3EC8" w:rsidRPr="003D5A36">
        <w:rPr>
          <w:rFonts w:ascii="Times New Roman" w:eastAsia="MS Mincho" w:hAnsi="Times New Roman"/>
          <w:b/>
          <w:bCs/>
          <w:lang w:val="en-US" w:eastAsia="ja-JP"/>
        </w:rPr>
        <w:t>2</w:t>
      </w:r>
      <w:r w:rsidRPr="003D5A36">
        <w:rPr>
          <w:rFonts w:ascii="Times New Roman" w:eastAsia="MS Mincho" w:hAnsi="Times New Roman"/>
          <w:b/>
          <w:bCs/>
          <w:lang w:val="en-US" w:eastAsia="ja-JP"/>
        </w:rPr>
        <w:t>: Overheads and percentage of resource elements available to NPDSCH/NPDCCH on a Rel-13 anchor carrier. (in-band, 3 OFDM symbols for LTE PDCCH, and 4 CRS ports)</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900"/>
      </w:tblGrid>
      <w:tr w:rsidR="00BE0C91" w:rsidRPr="00002065" w14:paraId="6B801B1A" w14:textId="77777777" w:rsidTr="00A256F8">
        <w:trPr>
          <w:trHeight w:val="290"/>
          <w:jc w:val="center"/>
        </w:trPr>
        <w:tc>
          <w:tcPr>
            <w:tcW w:w="5665" w:type="dxa"/>
            <w:shd w:val="clear" w:color="auto" w:fill="auto"/>
            <w:noWrap/>
            <w:vAlign w:val="bottom"/>
            <w:hideMark/>
          </w:tcPr>
          <w:p w14:paraId="105D01D8"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LTE</w:t>
            </w:r>
          </w:p>
        </w:tc>
        <w:tc>
          <w:tcPr>
            <w:tcW w:w="900" w:type="dxa"/>
            <w:shd w:val="clear" w:color="auto" w:fill="auto"/>
            <w:noWrap/>
            <w:vAlign w:val="bottom"/>
            <w:hideMark/>
          </w:tcPr>
          <w:p w14:paraId="5B1C65F4"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31.0%</w:t>
            </w:r>
          </w:p>
        </w:tc>
      </w:tr>
      <w:tr w:rsidR="00BE0C91" w:rsidRPr="00002065" w14:paraId="5F0C2BDC" w14:textId="77777777" w:rsidTr="00A256F8">
        <w:trPr>
          <w:trHeight w:val="290"/>
          <w:jc w:val="center"/>
        </w:trPr>
        <w:tc>
          <w:tcPr>
            <w:tcW w:w="5665" w:type="dxa"/>
            <w:shd w:val="clear" w:color="auto" w:fill="auto"/>
            <w:noWrap/>
            <w:vAlign w:val="bottom"/>
            <w:hideMark/>
          </w:tcPr>
          <w:p w14:paraId="2C9CB001"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NPBCH</w:t>
            </w:r>
          </w:p>
        </w:tc>
        <w:tc>
          <w:tcPr>
            <w:tcW w:w="900" w:type="dxa"/>
            <w:shd w:val="clear" w:color="auto" w:fill="auto"/>
            <w:noWrap/>
            <w:vAlign w:val="bottom"/>
            <w:hideMark/>
          </w:tcPr>
          <w:p w14:paraId="1218DE13"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6.0%</w:t>
            </w:r>
          </w:p>
        </w:tc>
      </w:tr>
      <w:tr w:rsidR="00BE0C91" w:rsidRPr="00002065" w14:paraId="2BC9BE01" w14:textId="77777777" w:rsidTr="00A256F8">
        <w:trPr>
          <w:trHeight w:val="290"/>
          <w:jc w:val="center"/>
        </w:trPr>
        <w:tc>
          <w:tcPr>
            <w:tcW w:w="5665" w:type="dxa"/>
            <w:shd w:val="clear" w:color="auto" w:fill="auto"/>
            <w:noWrap/>
            <w:vAlign w:val="bottom"/>
            <w:hideMark/>
          </w:tcPr>
          <w:p w14:paraId="70FB7029"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NPSS</w:t>
            </w:r>
          </w:p>
        </w:tc>
        <w:tc>
          <w:tcPr>
            <w:tcW w:w="900" w:type="dxa"/>
            <w:shd w:val="clear" w:color="auto" w:fill="auto"/>
            <w:noWrap/>
            <w:vAlign w:val="bottom"/>
            <w:hideMark/>
          </w:tcPr>
          <w:p w14:paraId="790ABB8B"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6.9%</w:t>
            </w:r>
          </w:p>
        </w:tc>
      </w:tr>
      <w:tr w:rsidR="00BE0C91" w:rsidRPr="00002065" w14:paraId="762980B9" w14:textId="77777777" w:rsidTr="00A256F8">
        <w:trPr>
          <w:trHeight w:val="290"/>
          <w:jc w:val="center"/>
        </w:trPr>
        <w:tc>
          <w:tcPr>
            <w:tcW w:w="5665" w:type="dxa"/>
            <w:shd w:val="clear" w:color="auto" w:fill="auto"/>
            <w:noWrap/>
            <w:vAlign w:val="bottom"/>
            <w:hideMark/>
          </w:tcPr>
          <w:p w14:paraId="758B059A"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NSSS</w:t>
            </w:r>
          </w:p>
        </w:tc>
        <w:tc>
          <w:tcPr>
            <w:tcW w:w="900" w:type="dxa"/>
            <w:shd w:val="clear" w:color="auto" w:fill="auto"/>
            <w:noWrap/>
            <w:vAlign w:val="bottom"/>
            <w:hideMark/>
          </w:tcPr>
          <w:p w14:paraId="7162CB98"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3.5%</w:t>
            </w:r>
          </w:p>
        </w:tc>
      </w:tr>
      <w:tr w:rsidR="00BE0C91" w:rsidRPr="00002065" w14:paraId="64A6B60F" w14:textId="77777777" w:rsidTr="00A256F8">
        <w:trPr>
          <w:trHeight w:val="290"/>
          <w:jc w:val="center"/>
        </w:trPr>
        <w:tc>
          <w:tcPr>
            <w:tcW w:w="5665" w:type="dxa"/>
            <w:shd w:val="clear" w:color="auto" w:fill="auto"/>
            <w:noWrap/>
            <w:vAlign w:val="bottom"/>
            <w:hideMark/>
          </w:tcPr>
          <w:p w14:paraId="313C38D0"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overhead due to NRS</w:t>
            </w:r>
          </w:p>
        </w:tc>
        <w:tc>
          <w:tcPr>
            <w:tcW w:w="900" w:type="dxa"/>
            <w:shd w:val="clear" w:color="auto" w:fill="auto"/>
            <w:noWrap/>
            <w:vAlign w:val="bottom"/>
            <w:hideMark/>
          </w:tcPr>
          <w:p w14:paraId="6E5C43EC"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8.1%</w:t>
            </w:r>
          </w:p>
        </w:tc>
      </w:tr>
      <w:tr w:rsidR="00BE0C91" w:rsidRPr="00002065" w14:paraId="7A9FCB1B" w14:textId="77777777" w:rsidTr="00A256F8">
        <w:trPr>
          <w:trHeight w:val="290"/>
          <w:jc w:val="center"/>
        </w:trPr>
        <w:tc>
          <w:tcPr>
            <w:tcW w:w="5665" w:type="dxa"/>
            <w:shd w:val="clear" w:color="auto" w:fill="auto"/>
            <w:noWrap/>
            <w:vAlign w:val="bottom"/>
            <w:hideMark/>
          </w:tcPr>
          <w:p w14:paraId="6AA34B11"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SIB1-NB</w:t>
            </w:r>
          </w:p>
        </w:tc>
        <w:tc>
          <w:tcPr>
            <w:tcW w:w="900" w:type="dxa"/>
            <w:shd w:val="clear" w:color="auto" w:fill="auto"/>
            <w:noWrap/>
            <w:vAlign w:val="bottom"/>
            <w:hideMark/>
          </w:tcPr>
          <w:p w14:paraId="1583C16A"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3.0%</w:t>
            </w:r>
          </w:p>
        </w:tc>
      </w:tr>
      <w:tr w:rsidR="00BE0C91" w:rsidRPr="00002065" w14:paraId="7AD17BCF" w14:textId="77777777" w:rsidTr="00A256F8">
        <w:trPr>
          <w:trHeight w:val="290"/>
          <w:jc w:val="center"/>
        </w:trPr>
        <w:tc>
          <w:tcPr>
            <w:tcW w:w="5665" w:type="dxa"/>
            <w:shd w:val="clear" w:color="auto" w:fill="auto"/>
            <w:noWrap/>
            <w:vAlign w:val="bottom"/>
            <w:hideMark/>
          </w:tcPr>
          <w:p w14:paraId="5F3FD593"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total overhead</w:t>
            </w:r>
          </w:p>
        </w:tc>
        <w:tc>
          <w:tcPr>
            <w:tcW w:w="900" w:type="dxa"/>
            <w:shd w:val="clear" w:color="auto" w:fill="auto"/>
            <w:noWrap/>
            <w:vAlign w:val="bottom"/>
            <w:hideMark/>
          </w:tcPr>
          <w:p w14:paraId="2EF15187"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58.3%</w:t>
            </w:r>
          </w:p>
        </w:tc>
      </w:tr>
      <w:tr w:rsidR="00BE0C91" w:rsidRPr="00002065" w14:paraId="03E0D477" w14:textId="77777777" w:rsidTr="00A256F8">
        <w:trPr>
          <w:trHeight w:val="290"/>
          <w:jc w:val="center"/>
        </w:trPr>
        <w:tc>
          <w:tcPr>
            <w:tcW w:w="5665" w:type="dxa"/>
            <w:shd w:val="clear" w:color="auto" w:fill="auto"/>
            <w:noWrap/>
            <w:vAlign w:val="bottom"/>
          </w:tcPr>
          <w:p w14:paraId="5187B740" w14:textId="77777777" w:rsidR="00BE0C91" w:rsidRPr="00002065" w:rsidRDefault="00BE0C91" w:rsidP="00A256F8">
            <w:pPr>
              <w:spacing w:after="0"/>
              <w:rPr>
                <w:rFonts w:ascii="Calibri" w:hAnsi="Calibri"/>
                <w:color w:val="000000"/>
                <w:szCs w:val="22"/>
                <w:lang w:eastAsia="zh-TW"/>
              </w:rPr>
            </w:pPr>
            <w:r w:rsidRPr="00002065">
              <w:rPr>
                <w:rFonts w:ascii="Calibri" w:hAnsi="Calibri"/>
                <w:color w:val="000000"/>
                <w:szCs w:val="22"/>
                <w:lang w:eastAsia="zh-TW"/>
              </w:rPr>
              <w:t xml:space="preserve">percentage </w:t>
            </w:r>
            <w:r>
              <w:rPr>
                <w:rFonts w:ascii="Calibri" w:hAnsi="Calibri"/>
                <w:color w:val="000000"/>
                <w:szCs w:val="22"/>
                <w:lang w:eastAsia="zh-TW"/>
              </w:rPr>
              <w:t xml:space="preserve">of resource elements </w:t>
            </w:r>
            <w:r w:rsidRPr="00002065">
              <w:rPr>
                <w:rFonts w:ascii="Calibri" w:hAnsi="Calibri"/>
                <w:color w:val="000000"/>
                <w:szCs w:val="22"/>
                <w:lang w:eastAsia="zh-TW"/>
              </w:rPr>
              <w:t>available to NPDSCH/NPDCCH</w:t>
            </w:r>
          </w:p>
        </w:tc>
        <w:tc>
          <w:tcPr>
            <w:tcW w:w="900" w:type="dxa"/>
            <w:shd w:val="clear" w:color="auto" w:fill="auto"/>
            <w:noWrap/>
            <w:vAlign w:val="bottom"/>
          </w:tcPr>
          <w:p w14:paraId="5E8DE040" w14:textId="77777777" w:rsidR="00BE0C91" w:rsidRPr="00002065" w:rsidRDefault="00BE0C91" w:rsidP="00A256F8">
            <w:pPr>
              <w:spacing w:after="0"/>
              <w:jc w:val="right"/>
              <w:rPr>
                <w:rFonts w:ascii="Calibri" w:hAnsi="Calibri"/>
                <w:color w:val="000000"/>
                <w:szCs w:val="22"/>
                <w:lang w:eastAsia="zh-TW"/>
              </w:rPr>
            </w:pPr>
            <w:r w:rsidRPr="00002065">
              <w:rPr>
                <w:rFonts w:ascii="Calibri" w:hAnsi="Calibri"/>
                <w:color w:val="000000"/>
                <w:szCs w:val="22"/>
                <w:lang w:eastAsia="zh-TW"/>
              </w:rPr>
              <w:t>41.7%</w:t>
            </w:r>
          </w:p>
        </w:tc>
      </w:tr>
    </w:tbl>
    <w:p w14:paraId="63438B35" w14:textId="77777777" w:rsidR="00BE0C91" w:rsidRDefault="00BE0C91" w:rsidP="00BE0C91">
      <w:pPr>
        <w:pStyle w:val="BodyText"/>
        <w:rPr>
          <w:rFonts w:eastAsia="MS Mincho"/>
          <w:lang w:val="en-US" w:eastAsia="ja-JP"/>
        </w:rPr>
      </w:pPr>
    </w:p>
    <w:p w14:paraId="31405003" w14:textId="7F0457CF" w:rsidR="00BE0C91" w:rsidRPr="009057D1" w:rsidRDefault="00CD6908" w:rsidP="009057D1">
      <w:pPr>
        <w:rPr>
          <w:b/>
          <w:i/>
        </w:rPr>
      </w:pPr>
      <w:r w:rsidRPr="009057D1">
        <w:rPr>
          <w:b/>
          <w:i/>
        </w:rPr>
        <w:t>Observation 2</w:t>
      </w:r>
      <w:r w:rsidR="00BE0C91" w:rsidRPr="009057D1">
        <w:rPr>
          <w:b/>
          <w:i/>
        </w:rPr>
        <w:t>: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64A9916A" w14:textId="45C6EB8B" w:rsidR="002C3EC8" w:rsidRDefault="002C3EC8" w:rsidP="009057D1">
      <w:r>
        <w:t>Thus, we propose that using more NPBCH subframes not consider</w:t>
      </w:r>
      <w:r w:rsidR="006105F8">
        <w:t>ed</w:t>
      </w:r>
      <w:r>
        <w:t xml:space="preserve"> in Rel-15.</w:t>
      </w:r>
    </w:p>
    <w:p w14:paraId="039455DF" w14:textId="371E271D" w:rsidR="002C3EC8" w:rsidRPr="009057D1" w:rsidRDefault="002C3EC8" w:rsidP="009057D1">
      <w:pPr>
        <w:rPr>
          <w:rFonts w:cs="Arial"/>
          <w:b/>
          <w:i/>
        </w:rPr>
      </w:pPr>
      <w:r w:rsidRPr="009057D1">
        <w:rPr>
          <w:rFonts w:cs="Arial"/>
          <w:b/>
          <w:i/>
        </w:rPr>
        <w:t>Proposal 2: Using more NPBCH subframes is not consider</w:t>
      </w:r>
      <w:r w:rsidR="006105F8">
        <w:rPr>
          <w:rFonts w:cs="Arial"/>
          <w:b/>
          <w:i/>
        </w:rPr>
        <w:t>ed</w:t>
      </w:r>
      <w:r w:rsidRPr="009057D1">
        <w:rPr>
          <w:rFonts w:cs="Arial"/>
          <w:b/>
          <w:i/>
        </w:rPr>
        <w:t xml:space="preserve"> in Rel-15.</w:t>
      </w:r>
    </w:p>
    <w:p w14:paraId="0E1B9EFC" w14:textId="39654100" w:rsidR="002C3EC8" w:rsidRDefault="002C3EC8" w:rsidP="00541BD8">
      <w:pPr>
        <w:pStyle w:val="BodyText"/>
        <w:spacing w:before="180" w:after="180"/>
        <w:rPr>
          <w:rFonts w:ascii="Times New Roman" w:eastAsia="MS Mincho" w:hAnsi="Times New Roman"/>
          <w:b/>
          <w:i/>
          <w:sz w:val="22"/>
          <w:szCs w:val="24"/>
          <w:lang w:val="en-US" w:eastAsia="ja-JP"/>
        </w:rPr>
      </w:pPr>
    </w:p>
    <w:p w14:paraId="7C7B6C7F" w14:textId="21140E18" w:rsidR="004E55F1" w:rsidRDefault="00EC02EC" w:rsidP="00EC02EC">
      <w:pPr>
        <w:pStyle w:val="Heading2"/>
      </w:pPr>
      <w:r>
        <w:t>Improved channel estimation</w:t>
      </w:r>
    </w:p>
    <w:p w14:paraId="4AC2D49C" w14:textId="71AE100C" w:rsidR="00EC02EC" w:rsidRDefault="00EC02EC" w:rsidP="009057D1">
      <w:r>
        <w:t>Cross</w:t>
      </w:r>
      <w:r w:rsidR="009057D1">
        <w:t>-subframe</w:t>
      </w:r>
      <w:r>
        <w:t xml:space="preserve"> channel</w:t>
      </w:r>
      <w:r w:rsidR="009057D1">
        <w:t xml:space="preserve"> estimation</w:t>
      </w:r>
      <w:r>
        <w:t xml:space="preserve"> can improve MIB-NB acquisition per</w:t>
      </w:r>
      <w:r w:rsidR="00294AA7">
        <w:t>formance substantially. Figure 1</w:t>
      </w:r>
      <w:r>
        <w:t xml:space="preserve"> shows the performance of MIB-NB acquisition for the in-band deployment. The channel model used in the simulation is Typical Urban with 1 Hz Doppler. Here, the “keep-trying” method is used during a period of 1920 ms. The receiver accumulates and combines the NPBCH subframes according to the repetition pattern and code subblock structure of NPBCH for up to 640 ms, during which all 8 subblocks, each of 8 repetitions, are combined and decoded jointly. If the receiver fails to check the CRC, it starts a new accumulation and combining process. The main point of Figure </w:t>
      </w:r>
      <w:r w:rsidR="00294AA7">
        <w:t>1</w:t>
      </w:r>
      <w:r>
        <w:t xml:space="preserve"> is to illustrate that channel estimation may impact the MIB-NB acquisition performance very significantly. The three curves shown in Figure </w:t>
      </w:r>
      <w:r w:rsidR="006105F8">
        <w:t>1</w:t>
      </w:r>
      <w:r>
        <w:t xml:space="preserve"> correspond to three different channel estimators </w:t>
      </w:r>
      <w:r w:rsidR="006105F8">
        <w:t>with</w:t>
      </w:r>
      <w:r>
        <w:t xml:space="preserve"> different levels of cross-subframe channel estimation. The red curve is the performance without cross-subframe channel estimation. In this case, the channel coefficients are estimated based on NRS in only one subframe. The blue curve represents the performance achieved by jointly using NRS’s in 8 subframes for channel estimation, whereas the magenta curve represents the performance achieved by jointly using NRS’s in 20 subframes for channel estimation. In the simulations, the NRSs are transmitted in all subframes not transmitting NPSS or NSSS. This is a possible </w:t>
      </w:r>
      <w:r w:rsidR="006105F8">
        <w:t>scenario</w:t>
      </w:r>
      <w:r>
        <w:t xml:space="preserve"> for </w:t>
      </w:r>
      <w:r w:rsidRPr="00264EE8">
        <w:t xml:space="preserve">cell re-selection </w:t>
      </w:r>
      <w:r>
        <w:t xml:space="preserve">or RRC re-establishment if the UE has previously acquired SIB1-NB; and the SIB1-NB has indicated that </w:t>
      </w:r>
      <w:r w:rsidRPr="00264EE8">
        <w:t>the NRSs are transmitted in all subframes not transmitting NPSS or NSSS</w:t>
      </w:r>
      <w:r>
        <w:t xml:space="preserve">. Note however that during cell initial acquisition though, the UE can only assume that NRS’s are available in subframe #0, #4, and #9 not transmitting NSSS. In such scenarios, the subframes that can be assumed to have NRS’s are spread out in time. However, the UE can still use cross-subframe channel estimation in such scenarios. The SI acquisition performance is the most challenging for UEs in static channel due to lack of time diversity. However, for these UEs, the channel coefficients also change very slowly, and thus having NRS’s spread in time does not pose a problem for cross-subframe channel estimation. The SNR of -12 dB corresponds to the enhanced coverage scenario used in the RAN4 study [2]. We see that with an 8-subframe cross-subframe channel estimator, MIB-NB acquisition performance after 1920 ms reaches 2% BLER. </w:t>
      </w:r>
    </w:p>
    <w:p w14:paraId="2F634E2C" w14:textId="77777777" w:rsidR="00EC02EC" w:rsidRDefault="00EC02EC" w:rsidP="00EC02EC">
      <w:pPr>
        <w:jc w:val="center"/>
      </w:pPr>
      <w:r w:rsidRPr="00973BD7">
        <w:rPr>
          <w:noProof/>
          <w:lang w:eastAsia="zh-CN"/>
        </w:rPr>
        <w:lastRenderedPageBreak/>
        <w:drawing>
          <wp:inline distT="0" distB="0" distL="0" distR="0" wp14:anchorId="40B26D39" wp14:editId="1814E918">
            <wp:extent cx="4628451" cy="3594138"/>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2126" cy="3596992"/>
                    </a:xfrm>
                    <a:prstGeom prst="rect">
                      <a:avLst/>
                    </a:prstGeom>
                  </pic:spPr>
                </pic:pic>
              </a:graphicData>
            </a:graphic>
          </wp:inline>
        </w:drawing>
      </w:r>
    </w:p>
    <w:p w14:paraId="0FBABE3C" w14:textId="18F4D277" w:rsidR="00EC02EC" w:rsidRPr="003D5A36" w:rsidRDefault="00EC02EC" w:rsidP="003D5A36">
      <w:pPr>
        <w:pStyle w:val="BodyText"/>
        <w:jc w:val="center"/>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Figure </w:t>
      </w:r>
      <w:r w:rsidR="00294AA7" w:rsidRPr="003D5A36">
        <w:rPr>
          <w:rFonts w:ascii="Times New Roman" w:eastAsia="MS Mincho" w:hAnsi="Times New Roman"/>
          <w:b/>
          <w:bCs/>
          <w:lang w:val="en-US" w:eastAsia="ja-JP"/>
        </w:rPr>
        <w:t>1</w:t>
      </w:r>
      <w:r w:rsidRPr="003D5A36">
        <w:rPr>
          <w:rFonts w:ascii="Times New Roman" w:eastAsia="MS Mincho" w:hAnsi="Times New Roman"/>
          <w:b/>
          <w:bCs/>
          <w:lang w:val="en-US" w:eastAsia="ja-JP"/>
        </w:rPr>
        <w:t xml:space="preserve">: MIB-NB acquisition performance in the Typical Urban channel with 1 Hz Doppler. Acquisition time = 1920 ms. (in-band </w:t>
      </w:r>
      <w:r w:rsidR="00974536" w:rsidRPr="003D5A36">
        <w:rPr>
          <w:rFonts w:ascii="Times New Roman" w:eastAsia="MS Mincho" w:hAnsi="Times New Roman"/>
          <w:b/>
          <w:bCs/>
          <w:lang w:val="en-US" w:eastAsia="ja-JP"/>
        </w:rPr>
        <w:t xml:space="preserve">and guard-band </w:t>
      </w:r>
      <w:r w:rsidRPr="003D5A36">
        <w:rPr>
          <w:rFonts w:ascii="Times New Roman" w:eastAsia="MS Mincho" w:hAnsi="Times New Roman"/>
          <w:b/>
          <w:bCs/>
          <w:lang w:val="en-US" w:eastAsia="ja-JP"/>
        </w:rPr>
        <w:t>deployment</w:t>
      </w:r>
      <w:r w:rsidR="00974536" w:rsidRPr="003D5A36">
        <w:rPr>
          <w:rFonts w:ascii="Times New Roman" w:eastAsia="MS Mincho" w:hAnsi="Times New Roman"/>
          <w:b/>
          <w:bCs/>
          <w:lang w:val="en-US" w:eastAsia="ja-JP"/>
        </w:rPr>
        <w:t>s</w:t>
      </w:r>
      <w:r w:rsidRPr="003D5A36">
        <w:rPr>
          <w:rFonts w:ascii="Times New Roman" w:eastAsia="MS Mincho" w:hAnsi="Times New Roman"/>
          <w:b/>
          <w:bCs/>
          <w:lang w:val="en-US" w:eastAsia="ja-JP"/>
        </w:rPr>
        <w:t xml:space="preserve"> with two NRS ports)</w:t>
      </w:r>
    </w:p>
    <w:p w14:paraId="635B422B" w14:textId="77777777" w:rsidR="00EB2D78" w:rsidRPr="00EB2D78" w:rsidRDefault="00EB2D78" w:rsidP="00EB2D78"/>
    <w:p w14:paraId="0A20CBE2" w14:textId="454EB7F0" w:rsidR="00EC02EC" w:rsidRPr="00301C73" w:rsidRDefault="00EB2D78" w:rsidP="00301C73">
      <w:pPr>
        <w:rPr>
          <w:rFonts w:cs="Arial"/>
          <w:b/>
          <w:i/>
        </w:rPr>
      </w:pPr>
      <w:r w:rsidRPr="00301C73">
        <w:rPr>
          <w:rFonts w:cs="Arial"/>
          <w:b/>
          <w:i/>
        </w:rPr>
        <w:t>Observation 3</w:t>
      </w:r>
      <w:r w:rsidR="00EC02EC" w:rsidRPr="00301C73">
        <w:rPr>
          <w:rFonts w:cs="Arial"/>
          <w:b/>
          <w:i/>
        </w:rPr>
        <w:t>: Cross-subframe channel estimation improves MIB-NB acquisition performance significantly.</w:t>
      </w:r>
    </w:p>
    <w:p w14:paraId="273A468A" w14:textId="1DF1B009" w:rsidR="00EC02EC" w:rsidRDefault="00EC02EC" w:rsidP="00301C73">
      <w:r>
        <w:t>MIB-NB acquisition performance using cross-subframe channel estimation over a 20-ms estimation</w:t>
      </w:r>
      <w:r w:rsidR="00301C73">
        <w:t xml:space="preserve"> window is summarized in Table 3</w:t>
      </w:r>
      <w:r>
        <w:t xml:space="preserve">. Observe that, the MIB-NB acquisition performance for stand-alone operation is significantly better than that for in-band and guard-band operations. The average MIB-NB acquisition time is less than 100 ms in stand-alone operation. </w:t>
      </w:r>
    </w:p>
    <w:p w14:paraId="5BFB1BFD" w14:textId="77777777" w:rsidR="00A04DC2" w:rsidRDefault="00A04DC2" w:rsidP="00301C73"/>
    <w:p w14:paraId="01B0E0C5" w14:textId="5CD21E1A" w:rsidR="00EC02EC" w:rsidRPr="003D5A36" w:rsidRDefault="00301C73" w:rsidP="003D5A36">
      <w:pPr>
        <w:pStyle w:val="BodyText"/>
        <w:jc w:val="center"/>
        <w:rPr>
          <w:rFonts w:ascii="Times New Roman" w:eastAsia="MS Mincho" w:hAnsi="Times New Roman"/>
          <w:b/>
          <w:bCs/>
          <w:lang w:val="en-US" w:eastAsia="ja-JP"/>
        </w:rPr>
      </w:pPr>
      <w:r w:rsidRPr="003D5A36">
        <w:rPr>
          <w:rFonts w:ascii="Times New Roman" w:eastAsia="MS Mincho" w:hAnsi="Times New Roman"/>
          <w:b/>
          <w:bCs/>
          <w:lang w:val="en-US" w:eastAsia="ja-JP"/>
        </w:rPr>
        <w:t>Table 3</w:t>
      </w:r>
      <w:r w:rsidR="00EC02EC" w:rsidRPr="003D5A36">
        <w:rPr>
          <w:rFonts w:ascii="Times New Roman" w:eastAsia="MS Mincho" w:hAnsi="Times New Roman"/>
          <w:b/>
          <w:bCs/>
          <w:lang w:val="en-US" w:eastAsia="ja-JP"/>
        </w:rPr>
        <w:t xml:space="preserve"> MIB-NB performance with cross-subframe channel estimation at 164 dB MCL in different operation modes, assuming 6 dB inband power boosting and 5 dB device NF.</w:t>
      </w:r>
    </w:p>
    <w:tbl>
      <w:tblPr>
        <w:tblStyle w:val="TableGrid"/>
        <w:tblW w:w="9282" w:type="dxa"/>
        <w:tblInd w:w="73" w:type="dxa"/>
        <w:tblLook w:val="04A0" w:firstRow="1" w:lastRow="0" w:firstColumn="1" w:lastColumn="0" w:noHBand="0" w:noVBand="1"/>
      </w:tblPr>
      <w:tblGrid>
        <w:gridCol w:w="4872"/>
        <w:gridCol w:w="2205"/>
        <w:gridCol w:w="2205"/>
      </w:tblGrid>
      <w:tr w:rsidR="00EC02EC" w:rsidRPr="006F0BB9" w14:paraId="780B90B9" w14:textId="77777777" w:rsidTr="00C76377">
        <w:tc>
          <w:tcPr>
            <w:tcW w:w="4872" w:type="dxa"/>
          </w:tcPr>
          <w:p w14:paraId="79ABA7BA" w14:textId="77777777" w:rsidR="00EC02EC" w:rsidRPr="006F0BB9" w:rsidRDefault="00EC02EC" w:rsidP="00C76377">
            <w:pPr>
              <w:pStyle w:val="TAH"/>
              <w:rPr>
                <w:lang w:val="en-US"/>
              </w:rPr>
            </w:pPr>
            <w:r>
              <w:rPr>
                <w:lang w:val="en-US"/>
              </w:rPr>
              <w:t>Coverage level (MCL)</w:t>
            </w:r>
          </w:p>
        </w:tc>
        <w:tc>
          <w:tcPr>
            <w:tcW w:w="2205" w:type="dxa"/>
          </w:tcPr>
          <w:p w14:paraId="494E7352" w14:textId="77777777" w:rsidR="00EC02EC" w:rsidRPr="006F0BB9" w:rsidRDefault="00EC02EC" w:rsidP="00C76377">
            <w:pPr>
              <w:pStyle w:val="TAH"/>
              <w:rPr>
                <w:lang w:val="en-US"/>
              </w:rPr>
            </w:pPr>
            <w:r>
              <w:rPr>
                <w:lang w:val="en-US"/>
              </w:rPr>
              <w:t>Stand-alone</w:t>
            </w:r>
          </w:p>
        </w:tc>
        <w:tc>
          <w:tcPr>
            <w:tcW w:w="2205" w:type="dxa"/>
          </w:tcPr>
          <w:p w14:paraId="61AAFF28" w14:textId="77777777" w:rsidR="00EC02EC" w:rsidRPr="006F0BB9" w:rsidRDefault="00EC02EC" w:rsidP="00C76377">
            <w:pPr>
              <w:pStyle w:val="TAH"/>
              <w:rPr>
                <w:lang w:val="en-US"/>
              </w:rPr>
            </w:pPr>
            <w:r>
              <w:rPr>
                <w:lang w:val="en-US"/>
              </w:rPr>
              <w:t>In-band/Guard-band</w:t>
            </w:r>
          </w:p>
        </w:tc>
      </w:tr>
      <w:tr w:rsidR="00EC02EC" w:rsidRPr="00C33D82" w14:paraId="13104E2F" w14:textId="77777777" w:rsidTr="00C76377">
        <w:tc>
          <w:tcPr>
            <w:tcW w:w="4872" w:type="dxa"/>
          </w:tcPr>
          <w:p w14:paraId="6EBBF853" w14:textId="77777777" w:rsidR="00EC02EC" w:rsidRPr="006F0BB9" w:rsidRDefault="00EC02EC" w:rsidP="00C76377">
            <w:pPr>
              <w:pStyle w:val="TAC"/>
              <w:rPr>
                <w:lang w:val="en-US"/>
              </w:rPr>
            </w:pPr>
            <w:r>
              <w:t>acquisition time required for achieving 95% success rate</w:t>
            </w:r>
          </w:p>
        </w:tc>
        <w:tc>
          <w:tcPr>
            <w:tcW w:w="2205" w:type="dxa"/>
            <w:vAlign w:val="center"/>
          </w:tcPr>
          <w:p w14:paraId="3C327061" w14:textId="77777777" w:rsidR="00EC02EC" w:rsidRPr="00C33D82" w:rsidRDefault="00EC02EC" w:rsidP="00C76377">
            <w:pPr>
              <w:pStyle w:val="TAC"/>
              <w:rPr>
                <w:lang w:val="en-US"/>
              </w:rPr>
            </w:pPr>
            <w:r>
              <w:rPr>
                <w:lang w:val="en-US"/>
              </w:rPr>
              <w:t>24</w:t>
            </w:r>
            <w:r w:rsidRPr="00C33D82">
              <w:rPr>
                <w:lang w:val="en-US"/>
              </w:rPr>
              <w:t>0 ms</w:t>
            </w:r>
          </w:p>
        </w:tc>
        <w:tc>
          <w:tcPr>
            <w:tcW w:w="2205" w:type="dxa"/>
            <w:vAlign w:val="center"/>
          </w:tcPr>
          <w:p w14:paraId="760E0630" w14:textId="77777777" w:rsidR="00EC02EC" w:rsidRPr="00C33D82" w:rsidRDefault="00EC02EC" w:rsidP="00C76377">
            <w:pPr>
              <w:pStyle w:val="TAC"/>
              <w:rPr>
                <w:lang w:val="en-US"/>
              </w:rPr>
            </w:pPr>
            <w:r>
              <w:rPr>
                <w:lang w:val="en-US"/>
              </w:rPr>
              <w:t>1280</w:t>
            </w:r>
            <w:r w:rsidRPr="00C33D82">
              <w:rPr>
                <w:lang w:val="en-US"/>
              </w:rPr>
              <w:t xml:space="preserve"> ms</w:t>
            </w:r>
          </w:p>
        </w:tc>
      </w:tr>
      <w:tr w:rsidR="00EC02EC" w:rsidRPr="006F0BB9" w14:paraId="6BE7BAC2" w14:textId="77777777" w:rsidTr="00C76377">
        <w:tc>
          <w:tcPr>
            <w:tcW w:w="4872" w:type="dxa"/>
          </w:tcPr>
          <w:p w14:paraId="73942688" w14:textId="77777777" w:rsidR="00EC02EC" w:rsidRPr="006F0BB9" w:rsidRDefault="00EC02EC" w:rsidP="00C76377">
            <w:pPr>
              <w:pStyle w:val="TAC"/>
              <w:rPr>
                <w:lang w:val="en-US"/>
              </w:rPr>
            </w:pPr>
            <w:r>
              <w:rPr>
                <w:lang w:val="en-US"/>
              </w:rPr>
              <w:t>Average acquisition time</w:t>
            </w:r>
          </w:p>
        </w:tc>
        <w:tc>
          <w:tcPr>
            <w:tcW w:w="2205" w:type="dxa"/>
            <w:vAlign w:val="center"/>
          </w:tcPr>
          <w:p w14:paraId="159717DC" w14:textId="77777777" w:rsidR="00EC02EC" w:rsidRPr="006F0BB9" w:rsidRDefault="00EC02EC" w:rsidP="00C76377">
            <w:pPr>
              <w:pStyle w:val="TAC"/>
              <w:rPr>
                <w:lang w:val="en-US"/>
              </w:rPr>
            </w:pPr>
            <w:r>
              <w:rPr>
                <w:lang w:val="en-US"/>
              </w:rPr>
              <w:t>83.9</w:t>
            </w:r>
            <w:r w:rsidRPr="00F0169E">
              <w:rPr>
                <w:lang w:val="en-US"/>
              </w:rPr>
              <w:t xml:space="preserve"> ms</w:t>
            </w:r>
          </w:p>
        </w:tc>
        <w:tc>
          <w:tcPr>
            <w:tcW w:w="2205" w:type="dxa"/>
            <w:vAlign w:val="center"/>
          </w:tcPr>
          <w:p w14:paraId="607B0E7D" w14:textId="77777777" w:rsidR="00EC02EC" w:rsidRPr="006F0BB9" w:rsidRDefault="00EC02EC" w:rsidP="00C76377">
            <w:pPr>
              <w:pStyle w:val="TAC"/>
              <w:rPr>
                <w:lang w:val="en-US"/>
              </w:rPr>
            </w:pPr>
            <w:r>
              <w:rPr>
                <w:lang w:val="en-US"/>
              </w:rPr>
              <w:t>357.1</w:t>
            </w:r>
            <w:r w:rsidRPr="00F0169E">
              <w:rPr>
                <w:lang w:val="en-US"/>
              </w:rPr>
              <w:t xml:space="preserve"> ms</w:t>
            </w:r>
          </w:p>
        </w:tc>
      </w:tr>
    </w:tbl>
    <w:p w14:paraId="33F48D27" w14:textId="77777777" w:rsidR="00EC02EC" w:rsidRDefault="00EC02EC" w:rsidP="00EC02EC">
      <w:pPr>
        <w:pStyle w:val="BodyText"/>
        <w:rPr>
          <w:rFonts w:eastAsia="MS Mincho"/>
          <w:lang w:val="en-US" w:eastAsia="ja-JP"/>
        </w:rPr>
      </w:pPr>
    </w:p>
    <w:p w14:paraId="47D7E191" w14:textId="0A9E8601" w:rsidR="00EC02EC" w:rsidRPr="00301C73" w:rsidRDefault="00301C73" w:rsidP="00301C73">
      <w:pPr>
        <w:rPr>
          <w:rFonts w:cs="Arial"/>
          <w:b/>
          <w:i/>
        </w:rPr>
      </w:pPr>
      <w:r>
        <w:rPr>
          <w:rFonts w:cs="Arial"/>
          <w:b/>
          <w:i/>
        </w:rPr>
        <w:t>Observation 4</w:t>
      </w:r>
      <w:r w:rsidR="00EC02EC" w:rsidRPr="00301C73">
        <w:rPr>
          <w:rFonts w:cs="Arial"/>
          <w:b/>
          <w:i/>
        </w:rPr>
        <w:t>: With cross-subframe channel estimation, the average MIB-NB acquisition time is less than 100 ms in stand-alone operation.</w:t>
      </w:r>
    </w:p>
    <w:p w14:paraId="3FF54DB2" w14:textId="098042BC" w:rsidR="00EC02EC" w:rsidRPr="00301C73" w:rsidRDefault="00301C73" w:rsidP="00301C73">
      <w:pPr>
        <w:rPr>
          <w:rFonts w:cs="Arial"/>
          <w:b/>
          <w:i/>
        </w:rPr>
      </w:pPr>
      <w:r>
        <w:rPr>
          <w:rFonts w:cs="Arial"/>
          <w:b/>
          <w:i/>
        </w:rPr>
        <w:t>Observation 5</w:t>
      </w:r>
      <w:r w:rsidR="00EC02EC" w:rsidRPr="00301C73">
        <w:rPr>
          <w:rFonts w:cs="Arial"/>
          <w:b/>
          <w:i/>
        </w:rPr>
        <w:t>: With cross-subframe channel estimation, the average MIB-NB acquisition time is less than 400 ms in in-band and guard-band operations.</w:t>
      </w:r>
    </w:p>
    <w:p w14:paraId="5CF69DCC" w14:textId="0366C395" w:rsidR="004E55F1" w:rsidRDefault="004E55F1" w:rsidP="00541BD8">
      <w:pPr>
        <w:pStyle w:val="BodyText"/>
        <w:spacing w:before="180" w:after="180"/>
        <w:rPr>
          <w:rFonts w:ascii="Times New Roman" w:eastAsia="MS Mincho" w:hAnsi="Times New Roman"/>
          <w:b/>
          <w:i/>
          <w:sz w:val="22"/>
          <w:szCs w:val="24"/>
          <w:lang w:val="en-US" w:eastAsia="ja-JP"/>
        </w:rPr>
      </w:pPr>
    </w:p>
    <w:p w14:paraId="7413AFA1" w14:textId="52277193" w:rsidR="00BE0C91" w:rsidRPr="00166321" w:rsidRDefault="00301C73" w:rsidP="00301C73">
      <w:pPr>
        <w:pStyle w:val="Heading2"/>
      </w:pPr>
      <w:r w:rsidRPr="00301C73">
        <w:t>Improved NPBCH decoding</w:t>
      </w:r>
    </w:p>
    <w:p w14:paraId="7ED9D5E3" w14:textId="4DD426C8" w:rsidR="00776B00" w:rsidRDefault="00301C73" w:rsidP="00A04DC2">
      <w:r>
        <w:t>In [3</w:t>
      </w:r>
      <w:r w:rsidR="00166321">
        <w:t xml:space="preserve">], </w:t>
      </w:r>
      <w:r w:rsidR="00776B00">
        <w:t xml:space="preserve">advanced </w:t>
      </w:r>
      <w:r w:rsidR="00776B00" w:rsidRPr="00776B00">
        <w:t>MIB</w:t>
      </w:r>
      <w:r w:rsidR="00776B00">
        <w:t xml:space="preserve"> deco</w:t>
      </w:r>
      <w:r w:rsidR="002D41B6">
        <w:t>ding technique</w:t>
      </w:r>
      <w:r w:rsidR="00252A5E">
        <w:t>s</w:t>
      </w:r>
      <w:r w:rsidR="002D41B6">
        <w:t xml:space="preserve"> were considered</w:t>
      </w:r>
      <w:r w:rsidR="00776B00">
        <w:t xml:space="preserve">. In this section, we discuss an advanced </w:t>
      </w:r>
      <w:r w:rsidR="00776B00" w:rsidRPr="00776B00">
        <w:t>MIB-</w:t>
      </w:r>
      <w:r w:rsidR="00776B00">
        <w:t>NB decoding technique</w:t>
      </w:r>
      <w:r w:rsidR="00A04DC2">
        <w:t xml:space="preserve"> similar to the one proposed in [3]. It</w:t>
      </w:r>
      <w:r w:rsidR="00776B00">
        <w:t xml:space="preserve"> allows the UE to jointly decode NPBCH received signals over multiple </w:t>
      </w:r>
      <w:r w:rsidR="00FB1C4B">
        <w:t xml:space="preserve">640-ms NPBCH </w:t>
      </w:r>
      <w:r w:rsidR="00776B00">
        <w:t>TTIs.</w:t>
      </w:r>
    </w:p>
    <w:p w14:paraId="7F384600" w14:textId="3AD4A349" w:rsidR="00194D02" w:rsidRDefault="00194D02" w:rsidP="00A04DC2">
      <w:r>
        <w:t>The encoding process of M</w:t>
      </w:r>
      <w:r w:rsidR="00E1677F">
        <w:t>IB-NB is illustrated in Figure 2</w:t>
      </w:r>
      <w:r>
        <w:t xml:space="preserve">. MIB-NB is 34-bit long, and the first 6 bits consist of the 4 MSBs of SFN and 2 LSBs of H-SFN. The CRC encoder adds 16 CRC bits, which are later </w:t>
      </w:r>
      <w:r>
        <w:lastRenderedPageBreak/>
        <w:t xml:space="preserve">applied with a mask that is dependent of the number of antenna ports used to transmit NPBCH. After CRC encoding and masking, the 50-bit sequence is encoded with TBCC to </w:t>
      </w:r>
      <w:r w:rsidR="00B36D78">
        <w:t xml:space="preserve">produce a codeword of </w:t>
      </w:r>
      <w:r w:rsidR="005F2777">
        <w:t xml:space="preserve">150 bits, which </w:t>
      </w:r>
      <w:r w:rsidR="00E84FD0">
        <w:t xml:space="preserve">is extended to a 1600-bit NPBCH codeword </w:t>
      </w:r>
      <w:r w:rsidR="005F2777">
        <w:t xml:space="preserve">based on the LTE rate matching algorithm. On the receiver side, the UE can first undo rate matching, </w:t>
      </w:r>
      <w:r w:rsidR="00A04DC2">
        <w:t>and thus the core problem is using</w:t>
      </w:r>
      <w:r w:rsidR="005F2777">
        <w:t xml:space="preserve"> a TBCC decoder to process the 150 bit soft values and produce a decoded bit sequence.</w:t>
      </w:r>
    </w:p>
    <w:p w14:paraId="360353BA" w14:textId="387BD16F" w:rsidR="00194D02" w:rsidRDefault="00194D02" w:rsidP="00A04DC2">
      <w:r>
        <w:t xml:space="preserve">An important code property to exploit is that both the CRC and TBCC codes are linear codes. Recall that if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oMath>
      <w:r>
        <w:t xml:space="preserve"> and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oMath>
      <w:r>
        <w:t xml:space="preserve"> are two information vectors </w:t>
      </w:r>
      <w:r w:rsidR="00A87EB5">
        <w:t xml:space="preserve">over </w:t>
      </w:r>
      <w:r w:rsidR="00A87EB5" w:rsidRPr="00633EFB">
        <w:t>GF</w:t>
      </w:r>
      <w:r w:rsidR="00A87EB5">
        <w:t xml:space="preserve">(2) </w:t>
      </w:r>
      <w:r>
        <w:t xml:space="preserve">and </w:t>
      </w:r>
      <w:r w:rsidRPr="009850C2">
        <w:rPr>
          <w:i/>
        </w:rPr>
        <w:t>C</w:t>
      </w:r>
      <w:r>
        <w:t xml:space="preserve"> is a linear code so that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w:rPr>
                <w:rFonts w:ascii="Cambria Math" w:hAnsi="Cambria Math"/>
              </w:rPr>
              <m:t>i</m:t>
            </m:r>
          </m:sub>
        </m:sSub>
      </m:oMath>
      <w:r w:rsidR="00A87EB5">
        <w:t>,</w:t>
      </w:r>
      <w:r w:rsidR="00AA7EDD">
        <w:t xml:space="preserve"> then</w:t>
      </w:r>
      <w:r w:rsidR="00A87EB5">
        <w:t xml:space="preserve">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oMath>
      <w:r w:rsidR="00A87EB5">
        <w:t>. Exploiting such a linear code property, joint decoding over multiple NPBCH TTIs can be easily done assuming that the MIB-NB information content that changes across TTIs is the 6 bits SFN and H-SFN information. We illustrate how this works below.</w:t>
      </w:r>
    </w:p>
    <w:p w14:paraId="2A34D92A" w14:textId="30A8FE9A" w:rsidR="00A87EB5" w:rsidRDefault="00A87EB5" w:rsidP="00A04DC2">
      <w:r>
        <w:t xml:space="preserve">Assume the 6 bits SFN and H-SFN information in the first TTI is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0,0,0,0,0,0</m:t>
            </m:r>
          </m:e>
        </m:d>
      </m:oMath>
      <w:r>
        <w:t xml:space="preserve">, and therefore in the subsequent TTI it is (1,0,0,0,0,0). Here we use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e>
        </m:d>
      </m:oMath>
      <w:r>
        <w:t xml:space="preserve"> and </w:t>
      </w:r>
      <m:oMath>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F56D2">
        <w:t xml:space="preserve"> to represent the 4 M</w:t>
      </w:r>
      <w:r>
        <w:t xml:space="preserve">SBs of SFN and 2 </w:t>
      </w:r>
      <w:r w:rsidR="00AF56D2">
        <w:t>L</w:t>
      </w:r>
      <w:r>
        <w:t>SB</w:t>
      </w:r>
      <w:r w:rsidR="00AF56D2">
        <w:t>s of H-SFN, respectively.</w:t>
      </w:r>
      <w:r w:rsidR="00535CFA">
        <w:t xml:space="preserve"> </w:t>
      </w:r>
      <w:r>
        <w:t>The difference between the two MIB-NB information vectors</w:t>
      </w:r>
      <w:r w:rsidR="009C4D76">
        <w:t xml:space="preserve"> (34 bits each)</w:t>
      </w:r>
      <w:r>
        <w:t xml:space="preserve"> </w:t>
      </w:r>
      <w:r w:rsidR="00535CFA">
        <w:t xml:space="preserve">in two consecutive TTI’s </w:t>
      </w:r>
      <w:r>
        <w:t xml:space="preserve">is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r>
          <m:rPr>
            <m:sty m:val="p"/>
          </m:rPr>
          <w:rPr>
            <w:rFonts w:ascii="Cambria Math" w:hAnsi="Cambria Math"/>
          </w:rPr>
          <m:t>=(1, 0, 0, …0)</m:t>
        </m:r>
      </m:oMath>
      <w:r w:rsidR="00535CFA">
        <w:t xml:space="preserve">. </w:t>
      </w:r>
      <w:r w:rsidR="009C4D76">
        <w:t xml:space="preserve">Using the linear code properties, the difference in the TBCC codewords, denoted as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9C4D76">
        <w:t xml:space="preserve">  can be computed using the process illustrated in Figure </w:t>
      </w:r>
      <w:r w:rsidR="001468F8">
        <w:t>3</w:t>
      </w:r>
      <w:r w:rsidR="009C4D76">
        <w:t xml:space="preserve">. Note here that compared to Figure </w:t>
      </w:r>
      <w:r w:rsidR="001468F8">
        <w:t>2</w:t>
      </w:r>
      <w:r w:rsidR="009C4D76">
        <w:t xml:space="preserve">, CRC masking is not needed as it disappears after taking the difference between two codewords.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can be thought </w:t>
      </w:r>
      <w:r w:rsidR="00E94277">
        <w:t xml:space="preserve">of </w:t>
      </w:r>
      <w:r w:rsidR="003A3D1D">
        <w:t>as an additional scrambling mask applied to the codeword in the 2</w:t>
      </w:r>
      <w:r w:rsidR="003A3D1D" w:rsidRPr="00633EFB">
        <w:t>nd</w:t>
      </w:r>
      <w:r w:rsidR="003A3D1D">
        <w:t xml:space="preserve"> TTI</w:t>
      </w:r>
      <w:r w:rsidR="00E94277">
        <w:t>, relative to the codeword in the first TTI</w:t>
      </w:r>
      <w:r w:rsidR="003A3D1D">
        <w:t xml:space="preserve">. Thus, to use the two received codewords for joint decoding, the receiver can descramble the second </w:t>
      </w:r>
      <w:r w:rsidR="00E94277">
        <w:t xml:space="preserve">received </w:t>
      </w:r>
      <w:r w:rsidR="003A3D1D">
        <w:t xml:space="preserve">codeword using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and </w:t>
      </w:r>
      <w:r w:rsidR="00F5775B">
        <w:t xml:space="preserve">soft </w:t>
      </w:r>
      <w:r w:rsidR="003A3D1D">
        <w:t>combine with the first codeword. Note that such a technique can be extended to using more than two TTI’s for joint decoding</w:t>
      </w:r>
      <w:r w:rsidR="00EC6BEE">
        <w:t xml:space="preserve"> at the expense of increase </w:t>
      </w:r>
      <w:r w:rsidR="00E6215C">
        <w:t xml:space="preserve">soft buffer </w:t>
      </w:r>
      <w:r w:rsidR="00EC6BEE">
        <w:t>requirements</w:t>
      </w:r>
      <w:r w:rsidR="003A3D1D">
        <w:t>.</w:t>
      </w:r>
    </w:p>
    <w:p w14:paraId="43DA3EB7" w14:textId="484F77E1" w:rsidR="00D05C2F" w:rsidRDefault="00FB1C4B" w:rsidP="00A04DC2">
      <w:r>
        <w:t xml:space="preserve">For MIB-NB, the six frame counter bits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t xml:space="preserve"> have 64 combinations, but only result in six different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xml:space="preserve"> vectors, and therefore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w:t>
      </w:r>
      <w:r w:rsidR="00D05C2F">
        <w:t xml:space="preserve">This is illustrated in Table </w:t>
      </w:r>
      <w:r w:rsidR="001468F8">
        <w:t>4</w:t>
      </w:r>
      <w:r w:rsidR="00D05C2F">
        <w:t>.</w:t>
      </w:r>
      <w:r w:rsidR="0063051D">
        <w:t xml:space="preserve"> In Table </w:t>
      </w:r>
      <w:r w:rsidR="001468F8">
        <w:t>4</w:t>
      </w:r>
      <w:r w:rsidR="0063051D">
        <w:t xml:space="preserve">, we highlight the first time a new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 appears in blue. As seen, many frame counter values share the same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w:t>
      </w:r>
    </w:p>
    <w:p w14:paraId="137FA98C" w14:textId="09633371" w:rsidR="00FB1C4B" w:rsidRDefault="00FB1C4B" w:rsidP="00A04DC2">
      <w:r>
        <w:t xml:space="preserve">The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requires that the received</w:t>
      </w:r>
      <w:r w:rsidR="00026998">
        <w:t xml:space="preserve"> codewor</w:t>
      </w:r>
      <w:r>
        <w:t>ds over two TTIs are combined in 6 different ways. Thus, the decoder memory is increased from 150 bit soft values to 900 bit soft values</w:t>
      </w:r>
      <w:r w:rsidR="00EC6BEE">
        <w:t xml:space="preserve"> </w:t>
      </w:r>
      <w:r w:rsidR="00E6215C">
        <w:t>when</w:t>
      </w:r>
      <w:r w:rsidR="00EC6BEE">
        <w:t xml:space="preserve"> combining across two TTIs</w:t>
      </w:r>
      <w:r>
        <w:t xml:space="preserve">. </w:t>
      </w:r>
      <w:r w:rsidR="00B90830">
        <w:t xml:space="preserve">Note that this is still much less than a buffer size of 2112 soft bit values that Cat-N1 UE is required to support. </w:t>
      </w:r>
      <w:r>
        <w:t xml:space="preserve">The decoder complexity however is the same as a regular TBCC decoder in that the number of trellis state remains as 64 and each state has two outbound branches and two inbound branches. The only twist is that the branch metric calculation needs to base on an appropriately chosen </w:t>
      </w:r>
      <w:r w:rsidR="00026998">
        <w:t>version of combined received codeword. For a particular state, the process of determining which version of combined received codeword to use is however deterministic and does not involve additional hypotheses.</w:t>
      </w:r>
    </w:p>
    <w:p w14:paraId="1D6303A0" w14:textId="26A65C83" w:rsidR="00194D02" w:rsidRDefault="00194D02" w:rsidP="00776B00"/>
    <w:p w14:paraId="121BB788" w14:textId="70AB5F0C" w:rsidR="00194D02" w:rsidRDefault="004A6F8E" w:rsidP="00194D02">
      <w:pPr>
        <w:jc w:val="center"/>
      </w:pPr>
      <w:r>
        <w:object w:dxaOrig="7680" w:dyaOrig="866" w14:anchorId="2D120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43.5pt" o:ole="">
            <v:imagedata r:id="rId9" o:title=""/>
          </v:shape>
          <o:OLEObject Type="Embed" ProgID="Visio.Drawing.15" ShapeID="_x0000_i1025" DrawAspect="Content" ObjectID="_1563971918" r:id="rId10"/>
        </w:object>
      </w:r>
    </w:p>
    <w:p w14:paraId="03637A3C" w14:textId="765179BA" w:rsidR="00194D02" w:rsidRPr="003D5A36" w:rsidRDefault="00A04DC2" w:rsidP="003D5A36">
      <w:pPr>
        <w:pStyle w:val="BodyText"/>
        <w:jc w:val="center"/>
        <w:rPr>
          <w:rFonts w:ascii="Times New Roman" w:eastAsia="MS Mincho" w:hAnsi="Times New Roman"/>
          <w:b/>
          <w:bCs/>
          <w:lang w:val="en-US" w:eastAsia="ja-JP"/>
        </w:rPr>
      </w:pPr>
      <w:r w:rsidRPr="003D5A36">
        <w:rPr>
          <w:rFonts w:ascii="Times New Roman" w:eastAsia="MS Mincho" w:hAnsi="Times New Roman"/>
          <w:b/>
          <w:bCs/>
          <w:lang w:val="en-US" w:eastAsia="ja-JP"/>
        </w:rPr>
        <w:t>Figure 2</w:t>
      </w:r>
      <w:r w:rsidR="00194D02" w:rsidRPr="003D5A36">
        <w:rPr>
          <w:rFonts w:ascii="Times New Roman" w:eastAsia="MS Mincho" w:hAnsi="Times New Roman"/>
          <w:b/>
          <w:bCs/>
          <w:lang w:val="en-US" w:eastAsia="ja-JP"/>
        </w:rPr>
        <w:t>: MIB-NB encoding process.</w:t>
      </w:r>
    </w:p>
    <w:p w14:paraId="16B9DE55" w14:textId="2AFDB37A" w:rsidR="00194D02" w:rsidRDefault="00194D02" w:rsidP="00776B00"/>
    <w:p w14:paraId="61DB15AD" w14:textId="740F3DC6" w:rsidR="009C4D76" w:rsidRDefault="009C4D76" w:rsidP="009C4D76">
      <w:pPr>
        <w:jc w:val="center"/>
      </w:pPr>
      <w:r>
        <w:object w:dxaOrig="3849" w:dyaOrig="943" w14:anchorId="4C5E2727">
          <v:shape id="_x0000_i1026" type="#_x0000_t75" style="width:192.9pt;height:47.3pt" o:ole="">
            <v:imagedata r:id="rId11" o:title=""/>
          </v:shape>
          <o:OLEObject Type="Embed" ProgID="Visio.Drawing.15" ShapeID="_x0000_i1026" DrawAspect="Content" ObjectID="_1563971919" r:id="rId12"/>
        </w:object>
      </w:r>
    </w:p>
    <w:p w14:paraId="07C1BAE9" w14:textId="7368867B" w:rsidR="009C4D76" w:rsidRPr="003D5A36" w:rsidRDefault="009C4D76" w:rsidP="003D5A36">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Figure </w:t>
      </w:r>
      <w:r w:rsidR="00A04DC2" w:rsidRPr="003D5A36">
        <w:rPr>
          <w:rFonts w:ascii="Times New Roman" w:eastAsia="MS Mincho" w:hAnsi="Times New Roman"/>
          <w:b/>
          <w:bCs/>
          <w:lang w:val="en-US" w:eastAsia="ja-JP"/>
        </w:rPr>
        <w:t>3</w:t>
      </w:r>
      <w:r w:rsidRPr="003D5A36">
        <w:rPr>
          <w:rFonts w:ascii="Times New Roman" w:eastAsia="MS Mincho" w:hAnsi="Times New Roman"/>
          <w:b/>
          <w:bCs/>
          <w:lang w:val="en-US" w:eastAsia="ja-JP"/>
        </w:rPr>
        <w:t>: Compute the difference in TBCC codeword based on the difference in MIB-NB information vectors.</w:t>
      </w:r>
    </w:p>
    <w:p w14:paraId="5B2F18FF" w14:textId="1C90F24B" w:rsidR="00A256F8" w:rsidRDefault="00A256F8" w:rsidP="00966383">
      <w:pPr>
        <w:rPr>
          <w:rFonts w:ascii="Arial" w:hAnsi="Arial" w:cs="Arial"/>
          <w:sz w:val="20"/>
          <w:szCs w:val="20"/>
        </w:rPr>
      </w:pPr>
    </w:p>
    <w:p w14:paraId="3CA096AA" w14:textId="77777777" w:rsidR="00A256F8" w:rsidRDefault="00A256F8" w:rsidP="00966383">
      <w:pPr>
        <w:rPr>
          <w:rFonts w:ascii="Arial" w:hAnsi="Arial" w:cs="Arial"/>
          <w:sz w:val="20"/>
          <w:szCs w:val="20"/>
        </w:rPr>
      </w:pPr>
    </w:p>
    <w:p w14:paraId="540DACE5" w14:textId="4B60358D" w:rsidR="00A256F8" w:rsidRPr="003D5A36" w:rsidRDefault="00A256F8" w:rsidP="00A256F8">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001468F8" w:rsidRPr="003D5A36">
        <w:rPr>
          <w:rFonts w:ascii="Times New Roman" w:eastAsia="MS Mincho" w:hAnsi="Times New Roman"/>
          <w:b/>
          <w:bCs/>
          <w:lang w:val="en-US" w:eastAsia="ja-JP"/>
        </w:rPr>
        <w:t>4</w:t>
      </w:r>
      <w:r w:rsidRPr="003D5A36">
        <w:rPr>
          <w:rFonts w:ascii="Times New Roman" w:eastAsia="MS Mincho" w:hAnsi="Times New Roman"/>
          <w:b/>
          <w:bCs/>
          <w:lang w:val="en-US" w:eastAsia="ja-JP"/>
        </w:rPr>
        <w:t xml:space="preserve">: </w:t>
      </w:r>
      <w:r w:rsidR="0063051D" w:rsidRPr="003D5A36">
        <w:rPr>
          <w:rFonts w:ascii="Times New Roman" w:eastAsia="MS Mincho" w:hAnsi="Times New Roman"/>
          <w:b/>
          <w:bCs/>
          <w:lang w:val="en-US" w:eastAsia="ja-JP"/>
        </w:rPr>
        <w:t>Relationship</w:t>
      </w:r>
      <w:r w:rsidRPr="003D5A36">
        <w:rPr>
          <w:rFonts w:ascii="Times New Roman" w:eastAsia="MS Mincho" w:hAnsi="Times New Roman"/>
          <w:b/>
          <w:bCs/>
          <w:lang w:val="en-US" w:eastAsia="ja-JP"/>
        </w:rPr>
        <w:t xml:space="preserve"> between f</w:t>
      </w:r>
      <w:r w:rsidR="0063051D" w:rsidRPr="003D5A36">
        <w:rPr>
          <w:rFonts w:ascii="Times New Roman" w:eastAsia="MS Mincho" w:hAnsi="Times New Roman"/>
          <w:b/>
          <w:bCs/>
          <w:lang w:val="en-US" w:eastAsia="ja-JP"/>
        </w:rPr>
        <w:t>rame counter value</w:t>
      </w:r>
      <w:r w:rsidRPr="003D5A36">
        <w:rPr>
          <w:rFonts w:ascii="Times New Roman" w:eastAsia="MS Mincho" w:hAnsi="Times New Roman"/>
          <w:b/>
          <w:bCs/>
          <w:lang w:val="en-US" w:eastAsia="ja-JP"/>
        </w:rPr>
        <w:t xml:space="preserve"> and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Although there are 64 possible</w:t>
      </w:r>
      <w:r w:rsidR="0063051D" w:rsidRPr="003D5A36">
        <w:rPr>
          <w:rFonts w:ascii="Times New Roman" w:eastAsia="MS Mincho" w:hAnsi="Times New Roman"/>
          <w:b/>
          <w:bCs/>
          <w:lang w:val="en-US" w:eastAsia="ja-JP"/>
        </w:rPr>
        <w:t xml:space="preserve"> frame counter</w:t>
      </w:r>
      <w:r w:rsidRPr="003D5A36">
        <w:rPr>
          <w:rFonts w:ascii="Times New Roman" w:eastAsia="MS Mincho" w:hAnsi="Times New Roman"/>
          <w:b/>
          <w:bCs/>
          <w:lang w:val="en-US" w:eastAsia="ja-JP"/>
        </w:rPr>
        <w:t xml:space="preserve"> values, there are only 6 possible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xml:space="preserve"> vectors.</w:t>
      </w:r>
    </w:p>
    <w:tbl>
      <w:tblPr>
        <w:tblStyle w:val="TableGrid"/>
        <w:tblW w:w="0" w:type="auto"/>
        <w:tblLook w:val="04A0" w:firstRow="1" w:lastRow="0" w:firstColumn="1" w:lastColumn="0" w:noHBand="0" w:noVBand="1"/>
      </w:tblPr>
      <w:tblGrid>
        <w:gridCol w:w="3206"/>
        <w:gridCol w:w="3207"/>
        <w:gridCol w:w="3207"/>
      </w:tblGrid>
      <w:tr w:rsidR="00A256F8" w14:paraId="5AF879DF" w14:textId="77777777" w:rsidTr="00A256F8">
        <w:tc>
          <w:tcPr>
            <w:tcW w:w="3206" w:type="dxa"/>
          </w:tcPr>
          <w:p w14:paraId="2BAE9F50" w14:textId="77777777" w:rsidR="00A256F8" w:rsidRDefault="00DB7A42" w:rsidP="00A256F8">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first TTI</w:t>
            </w:r>
          </w:p>
        </w:tc>
        <w:tc>
          <w:tcPr>
            <w:tcW w:w="3207" w:type="dxa"/>
          </w:tcPr>
          <w:p w14:paraId="65229CE6" w14:textId="77777777" w:rsidR="00A256F8" w:rsidRDefault="00DB7A42" w:rsidP="00A256F8">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second TTI</w:t>
            </w:r>
          </w:p>
        </w:tc>
        <w:tc>
          <w:tcPr>
            <w:tcW w:w="3207" w:type="dxa"/>
          </w:tcPr>
          <w:p w14:paraId="7BE9FF6A" w14:textId="77777777" w:rsidR="00A256F8" w:rsidRDefault="00DB7A42" w:rsidP="00A256F8">
            <w:pPr>
              <w:pStyle w:val="BodyText"/>
            </w:pP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A256F8">
              <w:t xml:space="preserve"> (length 34 vector)</w:t>
            </w:r>
          </w:p>
        </w:tc>
      </w:tr>
      <w:tr w:rsidR="00A256F8" w14:paraId="70CD1642" w14:textId="77777777" w:rsidTr="00A256F8">
        <w:tc>
          <w:tcPr>
            <w:tcW w:w="3206" w:type="dxa"/>
          </w:tcPr>
          <w:p w14:paraId="09683D4D" w14:textId="77777777" w:rsidR="00A256F8" w:rsidRDefault="00A256F8" w:rsidP="00A256F8">
            <w:pPr>
              <w:pStyle w:val="BodyText"/>
            </w:pPr>
            <w:r>
              <w:lastRenderedPageBreak/>
              <w:t>(0,0,0,0,0,0)</w:t>
            </w:r>
          </w:p>
        </w:tc>
        <w:tc>
          <w:tcPr>
            <w:tcW w:w="3207" w:type="dxa"/>
          </w:tcPr>
          <w:p w14:paraId="7F046BEA" w14:textId="77777777" w:rsidR="00A256F8" w:rsidRDefault="00A256F8" w:rsidP="00A256F8">
            <w:pPr>
              <w:pStyle w:val="BodyText"/>
            </w:pPr>
            <w:r>
              <w:t>(1,0,0,0,0,0)</w:t>
            </w:r>
          </w:p>
        </w:tc>
        <w:tc>
          <w:tcPr>
            <w:tcW w:w="3207" w:type="dxa"/>
          </w:tcPr>
          <w:p w14:paraId="67ACF202" w14:textId="50785272" w:rsidR="00A256F8" w:rsidRDefault="00A256F8" w:rsidP="00A256F8">
            <w:pPr>
              <w:pStyle w:val="BodyText"/>
            </w:pPr>
            <w:r w:rsidRPr="009850C2">
              <w:rPr>
                <w:color w:val="0070C0"/>
              </w:rPr>
              <w:t>(1, 0, …, 0)</w:t>
            </w:r>
          </w:p>
        </w:tc>
      </w:tr>
      <w:tr w:rsidR="00A256F8" w14:paraId="0055EFE8" w14:textId="77777777" w:rsidTr="00A256F8">
        <w:tc>
          <w:tcPr>
            <w:tcW w:w="3206" w:type="dxa"/>
          </w:tcPr>
          <w:p w14:paraId="06DBD286" w14:textId="77777777" w:rsidR="00A256F8" w:rsidRDefault="00A256F8" w:rsidP="00A256F8">
            <w:pPr>
              <w:pStyle w:val="BodyText"/>
            </w:pPr>
            <w:r>
              <w:t>(1,0,0,0,0,0)</w:t>
            </w:r>
          </w:p>
        </w:tc>
        <w:tc>
          <w:tcPr>
            <w:tcW w:w="3207" w:type="dxa"/>
          </w:tcPr>
          <w:p w14:paraId="3A280B90" w14:textId="77777777" w:rsidR="00A256F8" w:rsidRDefault="00A256F8" w:rsidP="00A256F8">
            <w:pPr>
              <w:pStyle w:val="BodyText"/>
            </w:pPr>
            <w:r>
              <w:t>(0,1,0,0,0,0)</w:t>
            </w:r>
          </w:p>
        </w:tc>
        <w:tc>
          <w:tcPr>
            <w:tcW w:w="3207" w:type="dxa"/>
          </w:tcPr>
          <w:p w14:paraId="2D506596" w14:textId="1C8F0046" w:rsidR="00A256F8" w:rsidRPr="009850C2" w:rsidRDefault="00A256F8" w:rsidP="00A256F8">
            <w:pPr>
              <w:pStyle w:val="BodyText"/>
              <w:rPr>
                <w:color w:val="0070C0"/>
              </w:rPr>
            </w:pPr>
            <w:r w:rsidRPr="009850C2">
              <w:rPr>
                <w:color w:val="0070C0"/>
              </w:rPr>
              <w:t>(1, 1, 0, …, 0)</w:t>
            </w:r>
          </w:p>
        </w:tc>
      </w:tr>
      <w:tr w:rsidR="00A256F8" w14:paraId="6A4E0799" w14:textId="77777777" w:rsidTr="00A256F8">
        <w:tc>
          <w:tcPr>
            <w:tcW w:w="3206" w:type="dxa"/>
          </w:tcPr>
          <w:p w14:paraId="7BE14489" w14:textId="77777777" w:rsidR="00A256F8" w:rsidRDefault="00A256F8" w:rsidP="00A256F8">
            <w:pPr>
              <w:pStyle w:val="BodyText"/>
            </w:pPr>
            <w:r>
              <w:t>(0,1,0,0,0,0)</w:t>
            </w:r>
          </w:p>
        </w:tc>
        <w:tc>
          <w:tcPr>
            <w:tcW w:w="3207" w:type="dxa"/>
          </w:tcPr>
          <w:p w14:paraId="0C0F30E3" w14:textId="77777777" w:rsidR="00A256F8" w:rsidRDefault="00A256F8" w:rsidP="00A256F8">
            <w:pPr>
              <w:pStyle w:val="BodyText"/>
            </w:pPr>
            <w:r>
              <w:t>(1,1,0,0,0,0)</w:t>
            </w:r>
          </w:p>
        </w:tc>
        <w:tc>
          <w:tcPr>
            <w:tcW w:w="3207" w:type="dxa"/>
          </w:tcPr>
          <w:p w14:paraId="3DD332BB" w14:textId="64B2278A" w:rsidR="00A256F8" w:rsidRDefault="00A256F8" w:rsidP="00A256F8">
            <w:pPr>
              <w:pStyle w:val="BodyText"/>
            </w:pPr>
            <w:r>
              <w:t>(1, 0, …, 0)</w:t>
            </w:r>
          </w:p>
        </w:tc>
      </w:tr>
      <w:tr w:rsidR="00A256F8" w14:paraId="3B808DA5" w14:textId="77777777" w:rsidTr="00A256F8">
        <w:tc>
          <w:tcPr>
            <w:tcW w:w="3206" w:type="dxa"/>
          </w:tcPr>
          <w:p w14:paraId="4E86665A" w14:textId="77777777" w:rsidR="00A256F8" w:rsidRDefault="00A256F8" w:rsidP="00A256F8">
            <w:pPr>
              <w:pStyle w:val="BodyText"/>
            </w:pPr>
            <w:r>
              <w:t>(1,1,0,0,0,0)</w:t>
            </w:r>
          </w:p>
        </w:tc>
        <w:tc>
          <w:tcPr>
            <w:tcW w:w="3207" w:type="dxa"/>
          </w:tcPr>
          <w:p w14:paraId="15116882" w14:textId="77777777" w:rsidR="00A256F8" w:rsidRDefault="00A256F8" w:rsidP="00A256F8">
            <w:pPr>
              <w:pStyle w:val="BodyText"/>
            </w:pPr>
            <w:r>
              <w:t>(0,0,1,0,0,0)</w:t>
            </w:r>
          </w:p>
        </w:tc>
        <w:tc>
          <w:tcPr>
            <w:tcW w:w="3207" w:type="dxa"/>
          </w:tcPr>
          <w:p w14:paraId="57E30696" w14:textId="1523AD98" w:rsidR="00A256F8" w:rsidRDefault="00A256F8" w:rsidP="00A256F8">
            <w:pPr>
              <w:pStyle w:val="BodyText"/>
            </w:pPr>
            <w:r w:rsidRPr="009850C2">
              <w:rPr>
                <w:color w:val="0070C0"/>
              </w:rPr>
              <w:t>(1,1,1, 0, …, 0)</w:t>
            </w:r>
          </w:p>
        </w:tc>
      </w:tr>
      <w:tr w:rsidR="00A256F8" w14:paraId="3EADF1D0" w14:textId="77777777" w:rsidTr="00A256F8">
        <w:tc>
          <w:tcPr>
            <w:tcW w:w="3206" w:type="dxa"/>
          </w:tcPr>
          <w:p w14:paraId="4DC6D506" w14:textId="77777777" w:rsidR="00A256F8" w:rsidRDefault="00A256F8" w:rsidP="00A256F8">
            <w:pPr>
              <w:pStyle w:val="BodyText"/>
            </w:pPr>
            <w:r>
              <w:t>(0,0,1,0,0,0)</w:t>
            </w:r>
          </w:p>
        </w:tc>
        <w:tc>
          <w:tcPr>
            <w:tcW w:w="3207" w:type="dxa"/>
          </w:tcPr>
          <w:p w14:paraId="5FE7181A" w14:textId="77777777" w:rsidR="00A256F8" w:rsidRDefault="00A256F8" w:rsidP="00A256F8">
            <w:pPr>
              <w:pStyle w:val="BodyText"/>
            </w:pPr>
            <w:r>
              <w:t>(1,0,1,0,0,0)</w:t>
            </w:r>
          </w:p>
        </w:tc>
        <w:tc>
          <w:tcPr>
            <w:tcW w:w="3207" w:type="dxa"/>
          </w:tcPr>
          <w:p w14:paraId="3F947DE1" w14:textId="167F16D6" w:rsidR="00A256F8" w:rsidRDefault="00A256F8" w:rsidP="00A256F8">
            <w:pPr>
              <w:pStyle w:val="BodyText"/>
            </w:pPr>
            <w:r>
              <w:t>(1, 0, 0, …, 0)</w:t>
            </w:r>
          </w:p>
        </w:tc>
      </w:tr>
      <w:tr w:rsidR="00A256F8" w14:paraId="412CFF6E" w14:textId="77777777" w:rsidTr="00A256F8">
        <w:tc>
          <w:tcPr>
            <w:tcW w:w="3206" w:type="dxa"/>
          </w:tcPr>
          <w:p w14:paraId="32228092" w14:textId="5D7DA288" w:rsidR="00A256F8" w:rsidRDefault="00A256F8" w:rsidP="00A256F8">
            <w:pPr>
              <w:pStyle w:val="BodyText"/>
            </w:pPr>
            <w:r>
              <w:t>(1,0,1,0,0,0)</w:t>
            </w:r>
          </w:p>
        </w:tc>
        <w:tc>
          <w:tcPr>
            <w:tcW w:w="3207" w:type="dxa"/>
          </w:tcPr>
          <w:p w14:paraId="70AB29DE" w14:textId="43BD5E16" w:rsidR="00A256F8" w:rsidRDefault="00A256F8" w:rsidP="00A256F8">
            <w:pPr>
              <w:pStyle w:val="BodyText"/>
            </w:pPr>
            <w:r>
              <w:t>(0,1,1,0,0,0)</w:t>
            </w:r>
          </w:p>
        </w:tc>
        <w:tc>
          <w:tcPr>
            <w:tcW w:w="3207" w:type="dxa"/>
          </w:tcPr>
          <w:p w14:paraId="717218C4" w14:textId="0A2BB745" w:rsidR="00A256F8" w:rsidRDefault="00A256F8" w:rsidP="00A256F8">
            <w:pPr>
              <w:pStyle w:val="BodyText"/>
            </w:pPr>
            <w:r>
              <w:t>(1, 1, 0, …, 0)</w:t>
            </w:r>
          </w:p>
        </w:tc>
      </w:tr>
      <w:tr w:rsidR="00A256F8" w14:paraId="71A13063" w14:textId="77777777" w:rsidTr="00A256F8">
        <w:tc>
          <w:tcPr>
            <w:tcW w:w="3206" w:type="dxa"/>
          </w:tcPr>
          <w:p w14:paraId="71049953" w14:textId="1B30618F" w:rsidR="00A256F8" w:rsidRDefault="00A256F8" w:rsidP="00A256F8">
            <w:pPr>
              <w:pStyle w:val="BodyText"/>
            </w:pPr>
            <w:r>
              <w:t>(0,1,1,0,0,0)</w:t>
            </w:r>
          </w:p>
        </w:tc>
        <w:tc>
          <w:tcPr>
            <w:tcW w:w="3207" w:type="dxa"/>
          </w:tcPr>
          <w:p w14:paraId="587AF0C0" w14:textId="2E969C62" w:rsidR="00A256F8" w:rsidRDefault="00A256F8" w:rsidP="00A256F8">
            <w:pPr>
              <w:pStyle w:val="BodyText"/>
            </w:pPr>
            <w:r>
              <w:t>(1,1,1,0,0,0)</w:t>
            </w:r>
          </w:p>
        </w:tc>
        <w:tc>
          <w:tcPr>
            <w:tcW w:w="3207" w:type="dxa"/>
          </w:tcPr>
          <w:p w14:paraId="7F72C94B" w14:textId="44AB9773" w:rsidR="00A256F8" w:rsidRDefault="00A256F8" w:rsidP="00A256F8">
            <w:pPr>
              <w:pStyle w:val="BodyText"/>
            </w:pPr>
            <w:r>
              <w:t>(1, 0, …, 0)</w:t>
            </w:r>
          </w:p>
        </w:tc>
      </w:tr>
      <w:tr w:rsidR="00A256F8" w14:paraId="50568291" w14:textId="77777777" w:rsidTr="00A256F8">
        <w:tc>
          <w:tcPr>
            <w:tcW w:w="3206" w:type="dxa"/>
          </w:tcPr>
          <w:p w14:paraId="5BE82FE7" w14:textId="4B88E747" w:rsidR="00A256F8" w:rsidRDefault="00A256F8" w:rsidP="00A256F8">
            <w:pPr>
              <w:pStyle w:val="BodyText"/>
            </w:pPr>
            <w:r>
              <w:t>(1,1,1,0,0,0)</w:t>
            </w:r>
          </w:p>
        </w:tc>
        <w:tc>
          <w:tcPr>
            <w:tcW w:w="3207" w:type="dxa"/>
          </w:tcPr>
          <w:p w14:paraId="75828DFA" w14:textId="5288F328" w:rsidR="00A256F8" w:rsidRDefault="00A256F8" w:rsidP="00A256F8">
            <w:pPr>
              <w:pStyle w:val="BodyText"/>
            </w:pPr>
            <w:r>
              <w:t>(0,0,0,1,0,0)</w:t>
            </w:r>
          </w:p>
        </w:tc>
        <w:tc>
          <w:tcPr>
            <w:tcW w:w="3207" w:type="dxa"/>
          </w:tcPr>
          <w:p w14:paraId="2C8DA097" w14:textId="51D4B7F6" w:rsidR="00A256F8" w:rsidRDefault="00A256F8" w:rsidP="00A256F8">
            <w:pPr>
              <w:pStyle w:val="BodyText"/>
            </w:pPr>
            <w:r w:rsidRPr="009850C2">
              <w:rPr>
                <w:color w:val="0070C0"/>
              </w:rPr>
              <w:t>(1, 1, 1, 1, 0, …, 0)</w:t>
            </w:r>
          </w:p>
        </w:tc>
      </w:tr>
      <w:tr w:rsidR="00A256F8" w14:paraId="03F25FA7" w14:textId="77777777" w:rsidTr="00A256F8">
        <w:tc>
          <w:tcPr>
            <w:tcW w:w="3206" w:type="dxa"/>
          </w:tcPr>
          <w:p w14:paraId="39680C4F" w14:textId="1FB7B87F" w:rsidR="00A256F8" w:rsidRDefault="00A256F8" w:rsidP="00A256F8">
            <w:pPr>
              <w:pStyle w:val="BodyText"/>
            </w:pPr>
            <w:r>
              <w:t>……..</w:t>
            </w:r>
          </w:p>
        </w:tc>
        <w:tc>
          <w:tcPr>
            <w:tcW w:w="3207" w:type="dxa"/>
          </w:tcPr>
          <w:p w14:paraId="67AD105C" w14:textId="3164C84B" w:rsidR="00A256F8" w:rsidRDefault="00A256F8" w:rsidP="00A256F8">
            <w:pPr>
              <w:pStyle w:val="BodyText"/>
            </w:pPr>
            <w:r>
              <w:t>……..</w:t>
            </w:r>
          </w:p>
        </w:tc>
        <w:tc>
          <w:tcPr>
            <w:tcW w:w="3207" w:type="dxa"/>
          </w:tcPr>
          <w:p w14:paraId="75597535" w14:textId="3D9BBDAA" w:rsidR="00A256F8" w:rsidRDefault="00A256F8" w:rsidP="00A256F8">
            <w:pPr>
              <w:pStyle w:val="BodyText"/>
            </w:pPr>
            <w:r>
              <w:t>……..</w:t>
            </w:r>
          </w:p>
        </w:tc>
      </w:tr>
      <w:tr w:rsidR="00A256F8" w14:paraId="6A31A393" w14:textId="77777777" w:rsidTr="00A256F8">
        <w:tc>
          <w:tcPr>
            <w:tcW w:w="3206" w:type="dxa"/>
          </w:tcPr>
          <w:p w14:paraId="1ABA1C0A" w14:textId="455F8289" w:rsidR="00A256F8" w:rsidRDefault="00A256F8" w:rsidP="00A256F8">
            <w:pPr>
              <w:pStyle w:val="BodyText"/>
            </w:pPr>
            <w:r>
              <w:t>(1,1,1,1,0,0)</w:t>
            </w:r>
          </w:p>
        </w:tc>
        <w:tc>
          <w:tcPr>
            <w:tcW w:w="3207" w:type="dxa"/>
          </w:tcPr>
          <w:p w14:paraId="70D26793" w14:textId="7A342A27" w:rsidR="00A256F8" w:rsidRDefault="00A256F8" w:rsidP="00A256F8">
            <w:pPr>
              <w:pStyle w:val="BodyText"/>
            </w:pPr>
            <w:r>
              <w:t>(0,0,0,0,1,0)</w:t>
            </w:r>
          </w:p>
        </w:tc>
        <w:tc>
          <w:tcPr>
            <w:tcW w:w="3207" w:type="dxa"/>
          </w:tcPr>
          <w:p w14:paraId="52DC583B" w14:textId="3DC7D14A" w:rsidR="00A256F8" w:rsidRDefault="00A256F8" w:rsidP="00A256F8">
            <w:pPr>
              <w:pStyle w:val="BodyText"/>
            </w:pPr>
            <w:r w:rsidRPr="009850C2">
              <w:rPr>
                <w:color w:val="0070C0"/>
              </w:rPr>
              <w:t>(1, 1, 1, 1, 1, 0, …, 0)</w:t>
            </w:r>
          </w:p>
        </w:tc>
      </w:tr>
      <w:tr w:rsidR="00A256F8" w14:paraId="7929CFB9" w14:textId="77777777" w:rsidTr="00A256F8">
        <w:tc>
          <w:tcPr>
            <w:tcW w:w="3206" w:type="dxa"/>
          </w:tcPr>
          <w:p w14:paraId="35DDF0AF" w14:textId="595AF52B" w:rsidR="00A256F8" w:rsidRDefault="00A256F8" w:rsidP="00A256F8">
            <w:pPr>
              <w:pStyle w:val="BodyText"/>
            </w:pPr>
            <w:r>
              <w:t>……..</w:t>
            </w:r>
          </w:p>
        </w:tc>
        <w:tc>
          <w:tcPr>
            <w:tcW w:w="3207" w:type="dxa"/>
          </w:tcPr>
          <w:p w14:paraId="1E67419E" w14:textId="117C657D" w:rsidR="00A256F8" w:rsidRDefault="00A256F8" w:rsidP="00A256F8">
            <w:pPr>
              <w:pStyle w:val="BodyText"/>
            </w:pPr>
            <w:r>
              <w:t>……..</w:t>
            </w:r>
          </w:p>
        </w:tc>
        <w:tc>
          <w:tcPr>
            <w:tcW w:w="3207" w:type="dxa"/>
          </w:tcPr>
          <w:p w14:paraId="7A4D0E48" w14:textId="6C4E3158" w:rsidR="00A256F8" w:rsidRDefault="00A256F8" w:rsidP="00A256F8">
            <w:pPr>
              <w:pStyle w:val="BodyText"/>
            </w:pPr>
            <w:r>
              <w:t>……..</w:t>
            </w:r>
          </w:p>
        </w:tc>
      </w:tr>
      <w:tr w:rsidR="00A256F8" w14:paraId="3A5A1E9E" w14:textId="77777777" w:rsidTr="00A256F8">
        <w:tc>
          <w:tcPr>
            <w:tcW w:w="3206" w:type="dxa"/>
          </w:tcPr>
          <w:p w14:paraId="22257014" w14:textId="0C297F66" w:rsidR="00A256F8" w:rsidRDefault="00A256F8" w:rsidP="00A256F8">
            <w:pPr>
              <w:pStyle w:val="BodyText"/>
            </w:pPr>
            <w:r>
              <w:t>(1,1,1,1,1,0)</w:t>
            </w:r>
          </w:p>
        </w:tc>
        <w:tc>
          <w:tcPr>
            <w:tcW w:w="3207" w:type="dxa"/>
          </w:tcPr>
          <w:p w14:paraId="11497F24" w14:textId="7B430C3F" w:rsidR="00A256F8" w:rsidRDefault="00A256F8" w:rsidP="00A256F8">
            <w:pPr>
              <w:pStyle w:val="BodyText"/>
            </w:pPr>
            <w:r>
              <w:t>(0,0,0,0,0,1)</w:t>
            </w:r>
          </w:p>
        </w:tc>
        <w:tc>
          <w:tcPr>
            <w:tcW w:w="3207" w:type="dxa"/>
          </w:tcPr>
          <w:p w14:paraId="4B9F53AE" w14:textId="3D3E3B2A" w:rsidR="00A256F8" w:rsidRPr="009850C2" w:rsidRDefault="00A256F8" w:rsidP="00A256F8">
            <w:pPr>
              <w:pStyle w:val="BodyText"/>
              <w:rPr>
                <w:color w:val="0070C0"/>
              </w:rPr>
            </w:pPr>
            <w:r w:rsidRPr="009850C2">
              <w:rPr>
                <w:color w:val="0070C0"/>
              </w:rPr>
              <w:t>(1, 1, 1, 1, 1, 1, 1, …, 0)</w:t>
            </w:r>
          </w:p>
        </w:tc>
      </w:tr>
    </w:tbl>
    <w:p w14:paraId="2334C275" w14:textId="77777777" w:rsidR="00A256F8" w:rsidRPr="00966383" w:rsidRDefault="00A256F8" w:rsidP="00966383">
      <w:pPr>
        <w:rPr>
          <w:rFonts w:ascii="Arial" w:hAnsi="Arial" w:cs="Arial"/>
          <w:sz w:val="20"/>
          <w:szCs w:val="20"/>
        </w:rPr>
      </w:pPr>
    </w:p>
    <w:p w14:paraId="11980279" w14:textId="233C6A8A" w:rsidR="009C4D76" w:rsidRPr="007A1B0B" w:rsidRDefault="008D09EC" w:rsidP="007A1B0B">
      <w:pPr>
        <w:rPr>
          <w:rFonts w:cs="Arial"/>
          <w:b/>
          <w:i/>
        </w:rPr>
      </w:pPr>
      <w:r>
        <w:rPr>
          <w:rFonts w:cs="Arial"/>
          <w:b/>
          <w:i/>
        </w:rPr>
        <w:t>Observation 6</w:t>
      </w:r>
      <w:r w:rsidR="009C4D76" w:rsidRPr="007A1B0B">
        <w:rPr>
          <w:rFonts w:cs="Arial"/>
          <w:b/>
          <w:i/>
        </w:rPr>
        <w:t>: Exploiting the linear code properties of CRC and TBCC, joint decoding across multiple NPBCH TTI’s can be done by simply applying a</w:t>
      </w:r>
      <w:r w:rsidR="00240532" w:rsidRPr="007A1B0B">
        <w:rPr>
          <w:rFonts w:cs="Arial"/>
          <w:b/>
          <w:i/>
        </w:rPr>
        <w:t>n appropriate</w:t>
      </w:r>
      <w:r w:rsidR="009C4D76" w:rsidRPr="007A1B0B">
        <w:rPr>
          <w:rFonts w:cs="Arial"/>
          <w:b/>
          <w:i/>
        </w:rPr>
        <w:t xml:space="preserve"> descrambling mask to the bit soft values before combining the TBCC codewords across multiple TTIs.</w:t>
      </w:r>
    </w:p>
    <w:p w14:paraId="520CB0CC" w14:textId="77777777" w:rsidR="00187411" w:rsidRDefault="00187411" w:rsidP="00501447"/>
    <w:p w14:paraId="067770CD" w14:textId="4D61881B" w:rsidR="009C4D76" w:rsidRDefault="00240532" w:rsidP="00501447">
      <w:r>
        <w:t>In our view, using m</w:t>
      </w:r>
      <w:r w:rsidRPr="00240532">
        <w:t xml:space="preserve">ore sophisticated </w:t>
      </w:r>
      <w:r>
        <w:t xml:space="preserve">NPBCH </w:t>
      </w:r>
      <w:r w:rsidRPr="00240532">
        <w:t>receivers</w:t>
      </w:r>
      <w:r>
        <w:t xml:space="preserve"> is the most attractive solution as it </w:t>
      </w:r>
      <w:r w:rsidR="00187411">
        <w:t>improves MIB-NB reception performance without</w:t>
      </w:r>
      <w:r>
        <w:t xml:space="preserve"> </w:t>
      </w:r>
      <w:r w:rsidR="00187411">
        <w:t xml:space="preserve">requiring </w:t>
      </w:r>
      <w:r>
        <w:t xml:space="preserve">additional </w:t>
      </w:r>
      <w:r w:rsidR="00187411">
        <w:t>NPBCH transmissions</w:t>
      </w:r>
      <w:r>
        <w:t xml:space="preserve"> and thus </w:t>
      </w:r>
      <w:r w:rsidR="00187411">
        <w:t>does not give</w:t>
      </w:r>
      <w:r>
        <w:t xml:space="preserve"> rise to any additional signaling overheads.</w:t>
      </w:r>
      <w:r w:rsidR="00187411">
        <w:t xml:space="preserve"> The operation and complexity aspects of a joint MIB-NB decoder are summarized as below.</w:t>
      </w:r>
    </w:p>
    <w:p w14:paraId="5B093E5E" w14:textId="77777777" w:rsidR="00CE2519" w:rsidRDefault="00187411" w:rsidP="006E577B">
      <w:pPr>
        <w:pStyle w:val="ListParagraph"/>
        <w:numPr>
          <w:ilvl w:val="0"/>
          <w:numId w:val="9"/>
        </w:numPr>
        <w:rPr>
          <w:rFonts w:ascii="Times New Roman" w:hAnsi="Times New Roman"/>
          <w:sz w:val="22"/>
          <w:szCs w:val="22"/>
        </w:rPr>
      </w:pPr>
      <w:r w:rsidRPr="00CE2519">
        <w:rPr>
          <w:rFonts w:ascii="Times New Roman" w:hAnsi="Times New Roman"/>
          <w:sz w:val="22"/>
          <w:szCs w:val="22"/>
        </w:rPr>
        <w:t>Soft buffer memory is increased from 150 soft bit values to 900</w:t>
      </w:r>
      <w:r w:rsidR="00CE2519" w:rsidRPr="00CE2519">
        <w:rPr>
          <w:rFonts w:ascii="Times New Roman" w:hAnsi="Times New Roman"/>
          <w:sz w:val="22"/>
          <w:szCs w:val="22"/>
        </w:rPr>
        <w:t>, corresponding to 6 sets of soft values obtained by combining the received signals over two TTI according</w:t>
      </w:r>
      <w:r w:rsidR="00CE2519">
        <w:rPr>
          <w:rFonts w:ascii="Times New Roman" w:hAnsi="Times New Roman"/>
          <w:sz w:val="22"/>
          <w:szCs w:val="22"/>
        </w:rPr>
        <w:t xml:space="preserve"> to </w:t>
      </w:r>
      <w:r w:rsidR="00CE2519" w:rsidRPr="00CE2519">
        <w:rPr>
          <w:rFonts w:ascii="Times New Roman" w:hAnsi="Times New Roman"/>
          <w:sz w:val="22"/>
          <w:szCs w:val="22"/>
        </w:rPr>
        <w:t>six different</w:t>
      </w:r>
      <w:r w:rsidR="00CE2519">
        <w:t xml:space="preserve">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CE2519">
        <w:t xml:space="preserve"> </w:t>
      </w:r>
      <w:r w:rsidR="00CE2519">
        <w:rPr>
          <w:rFonts w:ascii="Times New Roman" w:hAnsi="Times New Roman"/>
          <w:sz w:val="22"/>
          <w:szCs w:val="22"/>
        </w:rPr>
        <w:t>vectors.</w:t>
      </w:r>
    </w:p>
    <w:p w14:paraId="7ED1B194" w14:textId="41830951" w:rsidR="00187411" w:rsidRPr="00CE2519" w:rsidRDefault="00187411" w:rsidP="006E577B">
      <w:pPr>
        <w:pStyle w:val="ListParagraph"/>
        <w:numPr>
          <w:ilvl w:val="0"/>
          <w:numId w:val="9"/>
        </w:numPr>
        <w:rPr>
          <w:rFonts w:ascii="Times New Roman" w:hAnsi="Times New Roman"/>
          <w:sz w:val="22"/>
          <w:szCs w:val="22"/>
        </w:rPr>
      </w:pPr>
      <w:r w:rsidRPr="00CE2519">
        <w:rPr>
          <w:rFonts w:ascii="Times New Roman" w:hAnsi="Times New Roman"/>
          <w:sz w:val="22"/>
          <w:szCs w:val="22"/>
        </w:rPr>
        <w:t>Number of trellis state is kept at 64 states</w:t>
      </w:r>
      <w:r w:rsidR="00A050A1" w:rsidRPr="00CE2519">
        <w:rPr>
          <w:rFonts w:ascii="Times New Roman" w:hAnsi="Times New Roman"/>
          <w:sz w:val="22"/>
          <w:szCs w:val="22"/>
        </w:rPr>
        <w:t>, as illustrated in Figure 4.</w:t>
      </w:r>
    </w:p>
    <w:p w14:paraId="5D43CAB9" w14:textId="09009147" w:rsidR="00187411" w:rsidRDefault="00187411" w:rsidP="006E577B">
      <w:pPr>
        <w:pStyle w:val="ListParagraph"/>
        <w:numPr>
          <w:ilvl w:val="0"/>
          <w:numId w:val="9"/>
        </w:numPr>
        <w:rPr>
          <w:rFonts w:ascii="Times New Roman" w:hAnsi="Times New Roman"/>
          <w:sz w:val="22"/>
          <w:szCs w:val="22"/>
        </w:rPr>
      </w:pPr>
      <w:r>
        <w:rPr>
          <w:rFonts w:ascii="Times New Roman" w:hAnsi="Times New Roman"/>
          <w:sz w:val="22"/>
          <w:szCs w:val="22"/>
        </w:rPr>
        <w:t xml:space="preserve">The TBCC decoder starts with loading the 6 frame counting bits in the memory, i.e. the starting state hypothesis </w:t>
      </w:r>
      <w:r w:rsidR="000F1CFD">
        <w:rPr>
          <w:rFonts w:ascii="Times New Roman" w:hAnsi="Times New Roman"/>
          <w:sz w:val="22"/>
          <w:szCs w:val="22"/>
        </w:rPr>
        <w:t xml:space="preserve">at stage 0 </w:t>
      </w:r>
      <w:r>
        <w:rPr>
          <w:rFonts w:ascii="Times New Roman" w:hAnsi="Times New Roman"/>
          <w:sz w:val="22"/>
          <w:szCs w:val="22"/>
        </w:rPr>
        <w:t xml:space="preserve">is tied to the </w:t>
      </w:r>
      <w:r w:rsidR="0052775E">
        <w:rPr>
          <w:rFonts w:ascii="Times New Roman" w:hAnsi="Times New Roman"/>
          <w:sz w:val="22"/>
          <w:szCs w:val="22"/>
        </w:rPr>
        <w:t>6 frame counting bits</w:t>
      </w:r>
      <w:r w:rsidR="00A050A1">
        <w:rPr>
          <w:rFonts w:ascii="Times New Roman" w:hAnsi="Times New Roman"/>
          <w:sz w:val="22"/>
          <w:szCs w:val="22"/>
        </w:rPr>
        <w:t>, as illustrated in Figure 4.</w:t>
      </w:r>
    </w:p>
    <w:p w14:paraId="55F23275" w14:textId="69DCEF26" w:rsidR="000F1CFD" w:rsidRPr="00486DA9" w:rsidRDefault="0052775E" w:rsidP="006E577B">
      <w:pPr>
        <w:pStyle w:val="ListParagraph"/>
        <w:numPr>
          <w:ilvl w:val="0"/>
          <w:numId w:val="9"/>
        </w:numPr>
        <w:rPr>
          <w:rFonts w:ascii="Times New Roman" w:hAnsi="Times New Roman"/>
          <w:sz w:val="22"/>
          <w:szCs w:val="22"/>
        </w:rPr>
      </w:pPr>
      <w:r>
        <w:rPr>
          <w:rFonts w:ascii="Times New Roman" w:hAnsi="Times New Roman"/>
          <w:sz w:val="22"/>
          <w:szCs w:val="22"/>
        </w:rPr>
        <w:t xml:space="preserve">The decoder tracks the </w:t>
      </w:r>
      <w:r w:rsidR="0063781B">
        <w:rPr>
          <w:rFonts w:ascii="Times New Roman" w:hAnsi="Times New Roman"/>
          <w:sz w:val="22"/>
          <w:szCs w:val="22"/>
        </w:rPr>
        <w:t xml:space="preserve">starting state </w:t>
      </w:r>
      <w:r w:rsidR="000F1CFD">
        <w:rPr>
          <w:rFonts w:ascii="Times New Roman" w:hAnsi="Times New Roman"/>
          <w:sz w:val="22"/>
          <w:szCs w:val="22"/>
        </w:rPr>
        <w:t xml:space="preserve">hypothesis </w:t>
      </w:r>
      <w:r w:rsidR="0063781B">
        <w:rPr>
          <w:rFonts w:ascii="Times New Roman" w:hAnsi="Times New Roman"/>
          <w:sz w:val="22"/>
          <w:szCs w:val="22"/>
        </w:rPr>
        <w:t>for each survived path</w:t>
      </w:r>
      <w:r w:rsidR="000F1CFD">
        <w:rPr>
          <w:rFonts w:ascii="Times New Roman" w:hAnsi="Times New Roman"/>
          <w:sz w:val="22"/>
          <w:szCs w:val="22"/>
        </w:rPr>
        <w:t>. For example, as shown in Figure 4, there are two pat</w:t>
      </w:r>
      <w:r w:rsidR="00486DA9">
        <w:rPr>
          <w:rFonts w:ascii="Times New Roman" w:hAnsi="Times New Roman"/>
          <w:sz w:val="22"/>
          <w:szCs w:val="22"/>
        </w:rPr>
        <w:t>hs merged at state (000000) of S</w:t>
      </w:r>
      <w:r w:rsidR="000F1CFD">
        <w:rPr>
          <w:rFonts w:ascii="Times New Roman" w:hAnsi="Times New Roman"/>
          <w:sz w:val="22"/>
          <w:szCs w:val="22"/>
        </w:rPr>
        <w:t>tage 1</w:t>
      </w:r>
      <w:r w:rsidR="00486DA9">
        <w:rPr>
          <w:rFonts w:ascii="Times New Roman" w:hAnsi="Times New Roman"/>
          <w:sz w:val="22"/>
          <w:szCs w:val="22"/>
        </w:rPr>
        <w:t xml:space="preserve"> and the path marked by “X” is the one pruned. Thus the survival path at state (000000) of Stage 1 carries the starting state hypothesis of (100000).</w:t>
      </w:r>
    </w:p>
    <w:p w14:paraId="33761370" w14:textId="3F584CD0" w:rsidR="0052775E" w:rsidRDefault="00CE2519" w:rsidP="006E577B">
      <w:pPr>
        <w:pStyle w:val="ListParagraph"/>
        <w:numPr>
          <w:ilvl w:val="0"/>
          <w:numId w:val="9"/>
        </w:numPr>
        <w:rPr>
          <w:rFonts w:ascii="Times New Roman" w:hAnsi="Times New Roman"/>
          <w:sz w:val="22"/>
          <w:szCs w:val="22"/>
        </w:rPr>
      </w:pPr>
      <w:r>
        <w:rPr>
          <w:rFonts w:ascii="Times New Roman" w:hAnsi="Times New Roman"/>
          <w:sz w:val="22"/>
          <w:szCs w:val="22"/>
        </w:rPr>
        <w:t xml:space="preserve">The calculation of the branch metrics is based on one of the 6 sets of </w:t>
      </w:r>
      <w:r w:rsidR="00A44914">
        <w:rPr>
          <w:rFonts w:ascii="Times New Roman" w:hAnsi="Times New Roman"/>
          <w:sz w:val="22"/>
          <w:szCs w:val="22"/>
        </w:rPr>
        <w:t>soft values</w:t>
      </w:r>
      <w:r>
        <w:rPr>
          <w:rFonts w:ascii="Times New Roman" w:hAnsi="Times New Roman"/>
          <w:sz w:val="22"/>
          <w:szCs w:val="22"/>
        </w:rPr>
        <w:t xml:space="preserve">. </w:t>
      </w:r>
      <w:r w:rsidR="00A44914">
        <w:rPr>
          <w:rFonts w:ascii="Times New Roman" w:hAnsi="Times New Roman"/>
          <w:sz w:val="22"/>
          <w:szCs w:val="22"/>
        </w:rPr>
        <w:t xml:space="preserve">According to the example in Figure 4, the survival path at state (000000) of Stage 1 carries the starting state hypothesis of (100000), and therefore the calculation of the two branch metrics emerging from this state will be based on the soft values that ae obtained by combining the received signals over the two consecutive TTI with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A44914">
        <w:t xml:space="preserve"> </w:t>
      </w:r>
      <w:r w:rsidR="00A44914">
        <w:rPr>
          <w:rFonts w:ascii="Times New Roman" w:hAnsi="Times New Roman"/>
          <w:sz w:val="22"/>
          <w:szCs w:val="22"/>
        </w:rPr>
        <w:t xml:space="preserve">vector corresponding to </w:t>
      </w:r>
      <m:oMath>
        <m:sSub>
          <m:sSubPr>
            <m:ctrlPr>
              <w:rPr>
                <w:rFonts w:ascii="Cambria Math" w:eastAsia="MS Mincho" w:hAnsi="Cambria Math" w:cs="Arial"/>
                <w:b/>
                <w:lang w:val="en-US" w:eastAsia="ja-JP"/>
              </w:rPr>
            </m:ctrlPr>
          </m:sSubPr>
          <m:e>
            <m:r>
              <m:rPr>
                <m:sty m:val="bi"/>
              </m:rPr>
              <w:rPr>
                <w:rFonts w:ascii="Cambria Math" w:eastAsia="MS Mincho" w:hAnsi="Cambria Math" w:cs="Arial"/>
                <w:lang w:val="en-US" w:eastAsia="ja-JP"/>
              </w:rPr>
              <m:t>x</m:t>
            </m:r>
          </m:e>
          <m:sub>
            <m:r>
              <m:rPr>
                <m:sty m:val="b"/>
              </m:rPr>
              <w:rPr>
                <w:rFonts w:ascii="Cambria Math" w:eastAsia="MS Mincho" w:hAnsi="Cambria Math" w:cs="Arial"/>
                <w:lang w:val="en-US" w:eastAsia="ja-JP"/>
              </w:rPr>
              <m:t>∆</m:t>
            </m:r>
          </m:sub>
        </m:sSub>
      </m:oMath>
      <w:r w:rsidR="00A44914">
        <w:rPr>
          <w:rFonts w:eastAsia="MS Mincho" w:cs="Arial"/>
          <w:b/>
          <w:lang w:val="en-US" w:eastAsia="ja-JP"/>
        </w:rPr>
        <w:t xml:space="preserve"> </w:t>
      </w:r>
      <w:r w:rsidR="00A44914" w:rsidRPr="00A44914">
        <w:rPr>
          <w:rFonts w:ascii="Times New Roman" w:hAnsi="Times New Roman"/>
          <w:sz w:val="22"/>
          <w:szCs w:val="22"/>
        </w:rPr>
        <w:t>= (1</w:t>
      </w:r>
      <w:r w:rsidR="00A44914">
        <w:rPr>
          <w:rFonts w:ascii="Times New Roman" w:hAnsi="Times New Roman"/>
          <w:sz w:val="22"/>
          <w:szCs w:val="22"/>
        </w:rPr>
        <w:t>1</w:t>
      </w:r>
      <w:r w:rsidR="00A44914" w:rsidRPr="00A44914">
        <w:rPr>
          <w:rFonts w:ascii="Times New Roman" w:hAnsi="Times New Roman"/>
          <w:sz w:val="22"/>
          <w:szCs w:val="22"/>
        </w:rPr>
        <w:t>0</w:t>
      </w:r>
      <w:r w:rsidR="00A44914">
        <w:rPr>
          <w:rFonts w:ascii="Times New Roman" w:hAnsi="Times New Roman"/>
          <w:sz w:val="22"/>
          <w:szCs w:val="22"/>
        </w:rPr>
        <w:t xml:space="preserve">… </w:t>
      </w:r>
      <w:r w:rsidR="00A44914" w:rsidRPr="00A44914">
        <w:rPr>
          <w:rFonts w:ascii="Times New Roman" w:hAnsi="Times New Roman"/>
          <w:sz w:val="22"/>
          <w:szCs w:val="22"/>
        </w:rPr>
        <w:t>000)</w:t>
      </w:r>
      <w:r w:rsidR="00A44914">
        <w:rPr>
          <w:rFonts w:ascii="Times New Roman" w:hAnsi="Times New Roman"/>
          <w:sz w:val="22"/>
          <w:szCs w:val="22"/>
        </w:rPr>
        <w:t>, see Table 4.</w:t>
      </w:r>
    </w:p>
    <w:p w14:paraId="5491C4CB" w14:textId="4AB6843F" w:rsidR="00225F21" w:rsidRDefault="00426FD6" w:rsidP="006E577B">
      <w:pPr>
        <w:pStyle w:val="ListParagraph"/>
        <w:numPr>
          <w:ilvl w:val="0"/>
          <w:numId w:val="9"/>
        </w:numPr>
        <w:rPr>
          <w:rFonts w:ascii="Times New Roman" w:hAnsi="Times New Roman"/>
          <w:sz w:val="22"/>
          <w:szCs w:val="22"/>
        </w:rPr>
      </w:pPr>
      <w:r>
        <w:rPr>
          <w:rFonts w:ascii="Times New Roman" w:hAnsi="Times New Roman"/>
          <w:sz w:val="22"/>
          <w:szCs w:val="22"/>
        </w:rPr>
        <w:t>All the other operations are identical to those in a nominal TBCC decoder.</w:t>
      </w:r>
    </w:p>
    <w:p w14:paraId="56FC4D1C" w14:textId="5A168CC3" w:rsidR="00946C1B" w:rsidRDefault="00946C1B" w:rsidP="00946C1B">
      <w:pPr>
        <w:rPr>
          <w:szCs w:val="22"/>
        </w:rPr>
      </w:pPr>
    </w:p>
    <w:p w14:paraId="2E22FC78" w14:textId="725AB4F6" w:rsidR="00946C1B" w:rsidRDefault="00946C1B" w:rsidP="00946C1B">
      <w:pPr>
        <w:rPr>
          <w:rFonts w:cs="Arial"/>
          <w:b/>
          <w:i/>
        </w:rPr>
      </w:pPr>
      <w:r>
        <w:rPr>
          <w:rFonts w:cs="Arial"/>
          <w:b/>
          <w:i/>
        </w:rPr>
        <w:t>Observation 7</w:t>
      </w:r>
      <w:r w:rsidRPr="007A1B0B">
        <w:rPr>
          <w:rFonts w:cs="Arial"/>
          <w:b/>
          <w:i/>
        </w:rPr>
        <w:t>:</w:t>
      </w:r>
      <w:r>
        <w:rPr>
          <w:rFonts w:cs="Arial"/>
          <w:b/>
          <w:i/>
        </w:rPr>
        <w:t xml:space="preserve"> There is no significant increase in decoding complexity for jointly decoding MIB-NB over consecutive TTIs as the number of </w:t>
      </w:r>
      <w:r w:rsidR="00823C66">
        <w:rPr>
          <w:rFonts w:cs="Arial"/>
          <w:b/>
          <w:i/>
        </w:rPr>
        <w:t>states per TBCC decoding</w:t>
      </w:r>
      <w:r>
        <w:rPr>
          <w:rFonts w:cs="Arial"/>
          <w:b/>
          <w:i/>
        </w:rPr>
        <w:t xml:space="preserve"> stage is kept at 64.</w:t>
      </w:r>
    </w:p>
    <w:p w14:paraId="1CDD3CDA" w14:textId="77777777" w:rsidR="006B1E31" w:rsidRPr="00946C1B" w:rsidRDefault="006B1E31" w:rsidP="00946C1B">
      <w:pPr>
        <w:rPr>
          <w:szCs w:val="22"/>
        </w:rPr>
      </w:pPr>
    </w:p>
    <w:p w14:paraId="57D7FF80" w14:textId="1F7AE5FF" w:rsidR="00A050A1" w:rsidRDefault="00CE2519" w:rsidP="000F1CFD">
      <w:pPr>
        <w:jc w:val="center"/>
      </w:pPr>
      <w:r>
        <w:object w:dxaOrig="9472" w:dyaOrig="8220" w14:anchorId="5D9937EB">
          <v:shape id="_x0000_i1027" type="#_x0000_t75" style="width:392.25pt;height:340.1pt" o:ole="">
            <v:imagedata r:id="rId13" o:title=""/>
          </v:shape>
          <o:OLEObject Type="Embed" ProgID="Visio.Drawing.15" ShapeID="_x0000_i1027" DrawAspect="Content" ObjectID="_1563971920" r:id="rId14"/>
        </w:object>
      </w:r>
    </w:p>
    <w:p w14:paraId="695C6B30" w14:textId="1B710F0C" w:rsidR="00A050A1" w:rsidRDefault="00A050A1" w:rsidP="00A050A1">
      <w:pPr>
        <w:pStyle w:val="Caption"/>
        <w:jc w:val="center"/>
      </w:pPr>
      <w:r>
        <w:t>Figure 4: TBCC decoder trellis with 64 states.</w:t>
      </w:r>
    </w:p>
    <w:p w14:paraId="5B5AF349" w14:textId="77777777" w:rsidR="00A050A1" w:rsidRPr="00A050A1" w:rsidRDefault="00A050A1" w:rsidP="00A050A1"/>
    <w:p w14:paraId="6CF82918" w14:textId="77777777" w:rsidR="00A050A1" w:rsidRPr="00A050A1" w:rsidRDefault="00A050A1" w:rsidP="00A050A1">
      <w:pPr>
        <w:rPr>
          <w:lang w:val="en-GB" w:eastAsia="zh-CN"/>
        </w:rPr>
      </w:pPr>
    </w:p>
    <w:p w14:paraId="3555AAF6" w14:textId="7AB9C8F4" w:rsidR="00225F21" w:rsidRDefault="00225F21" w:rsidP="00501447">
      <w:r>
        <w:t>The performance of jointly decoding MIB-NB over two consecutive TTI’s is shown in</w:t>
      </w:r>
      <w:r w:rsidR="00974536">
        <w:t xml:space="preserve"> Figure 5. Compared to the conventional TBCC decoder, which decodes the two TTI separately, the joint decoder gains by approximately 1 dB.</w:t>
      </w:r>
    </w:p>
    <w:p w14:paraId="0DC4B3CD" w14:textId="158513A1" w:rsidR="00225F21" w:rsidRDefault="0069393C" w:rsidP="0069393C">
      <w:pPr>
        <w:jc w:val="center"/>
      </w:pPr>
      <w:r w:rsidRPr="0069393C">
        <w:rPr>
          <w:noProof/>
          <w:lang w:eastAsia="zh-CN"/>
        </w:rPr>
        <w:drawing>
          <wp:inline distT="0" distB="0" distL="0" distR="0" wp14:anchorId="2CEF501F" wp14:editId="22783768">
            <wp:extent cx="4165140" cy="3121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5977" cy="3122620"/>
                    </a:xfrm>
                    <a:prstGeom prst="rect">
                      <a:avLst/>
                    </a:prstGeom>
                    <a:noFill/>
                    <a:ln>
                      <a:noFill/>
                    </a:ln>
                  </pic:spPr>
                </pic:pic>
              </a:graphicData>
            </a:graphic>
          </wp:inline>
        </w:drawing>
      </w:r>
    </w:p>
    <w:p w14:paraId="50C4A585" w14:textId="381CFACA" w:rsidR="00974536" w:rsidRDefault="00974536" w:rsidP="00974536">
      <w:pPr>
        <w:pStyle w:val="Caption"/>
        <w:jc w:val="center"/>
      </w:pPr>
      <w:r>
        <w:lastRenderedPageBreak/>
        <w:t>Figure 5: MIB-NB reception performance with 1280 ms acquisition time. (in-band and guard-band modes, TU 1 Hz, and cross-subframe channel estimation with 20-ms interpolation window.)</w:t>
      </w:r>
    </w:p>
    <w:p w14:paraId="2D4EC4EE" w14:textId="77777777" w:rsidR="0069393C" w:rsidRDefault="0069393C" w:rsidP="0069393C">
      <w:pPr>
        <w:jc w:val="center"/>
      </w:pPr>
    </w:p>
    <w:p w14:paraId="42BAA2B9" w14:textId="336E978F" w:rsidR="001746B7" w:rsidRDefault="001746B7" w:rsidP="00501447">
      <w:r>
        <w:t xml:space="preserve">Another method that can be used for MIB-NB </w:t>
      </w:r>
      <w:r w:rsidRPr="0088184F">
        <w:rPr>
          <w:i/>
        </w:rPr>
        <w:t>re-acquisition</w:t>
      </w:r>
      <w:r>
        <w:t xml:space="preserve"> is to assume part of the previously acquired MIB-NB remains valid.</w:t>
      </w:r>
      <w:r w:rsidR="00501447">
        <w:t xml:space="preserve"> MIB-NB includes the information as follows.</w:t>
      </w:r>
    </w:p>
    <w:p w14:paraId="1F06056E" w14:textId="4C8C1B28" w:rsidR="007A1B0B" w:rsidRPr="00E84498" w:rsidRDefault="007A1B0B" w:rsidP="006E577B">
      <w:pPr>
        <w:pStyle w:val="ListParagraph"/>
        <w:numPr>
          <w:ilvl w:val="0"/>
          <w:numId w:val="10"/>
        </w:numPr>
        <w:rPr>
          <w:rFonts w:ascii="Times New Roman" w:hAnsi="Times New Roman"/>
          <w:sz w:val="22"/>
          <w:szCs w:val="22"/>
        </w:rPr>
      </w:pPr>
      <w:r w:rsidRPr="00E84498">
        <w:rPr>
          <w:rFonts w:ascii="Times New Roman" w:hAnsi="Times New Roman"/>
          <w:sz w:val="22"/>
          <w:szCs w:val="22"/>
        </w:rPr>
        <w:t>Operation mode (standalone, in-band, guard-band).</w:t>
      </w:r>
    </w:p>
    <w:p w14:paraId="450B01EF" w14:textId="65C86FDD" w:rsidR="007A1B0B" w:rsidRPr="00E84498" w:rsidRDefault="007A1B0B" w:rsidP="006E577B">
      <w:pPr>
        <w:pStyle w:val="ListParagraph"/>
        <w:numPr>
          <w:ilvl w:val="0"/>
          <w:numId w:val="10"/>
        </w:numPr>
        <w:rPr>
          <w:rFonts w:ascii="Times New Roman" w:hAnsi="Times New Roman"/>
          <w:sz w:val="22"/>
          <w:szCs w:val="22"/>
        </w:rPr>
      </w:pPr>
      <w:r w:rsidRPr="00E84498">
        <w:rPr>
          <w:rFonts w:ascii="Times New Roman" w:hAnsi="Times New Roman"/>
          <w:sz w:val="22"/>
          <w:szCs w:val="22"/>
        </w:rPr>
        <w:t>In case of in-band and guard-band, the frequency raster offset (±2.5,</w:t>
      </w:r>
      <w:r w:rsidR="00D30FD9">
        <w:rPr>
          <w:rFonts w:ascii="Times New Roman" w:hAnsi="Times New Roman"/>
          <w:sz w:val="22"/>
          <w:szCs w:val="22"/>
        </w:rPr>
        <w:t xml:space="preserve"> </w:t>
      </w:r>
      <w:r w:rsidRPr="00E84498">
        <w:rPr>
          <w:rFonts w:ascii="Times New Roman" w:hAnsi="Times New Roman"/>
          <w:sz w:val="22"/>
          <w:szCs w:val="22"/>
        </w:rPr>
        <w:t>±7.5 kHz).</w:t>
      </w:r>
    </w:p>
    <w:p w14:paraId="525617C6" w14:textId="75CD28A0" w:rsidR="007A1B0B" w:rsidRPr="00E84498" w:rsidRDefault="007A1B0B" w:rsidP="006E577B">
      <w:pPr>
        <w:pStyle w:val="ListParagraph"/>
        <w:numPr>
          <w:ilvl w:val="0"/>
          <w:numId w:val="10"/>
        </w:numPr>
        <w:rPr>
          <w:rFonts w:ascii="Times New Roman" w:hAnsi="Times New Roman"/>
          <w:sz w:val="22"/>
          <w:szCs w:val="22"/>
        </w:rPr>
      </w:pPr>
      <w:r w:rsidRPr="00E84498">
        <w:rPr>
          <w:rFonts w:ascii="Times New Roman" w:hAnsi="Times New Roman"/>
          <w:sz w:val="22"/>
          <w:szCs w:val="22"/>
        </w:rPr>
        <w:t>Four MSBs of the SFN.</w:t>
      </w:r>
    </w:p>
    <w:p w14:paraId="4BDADAA0" w14:textId="66E84411" w:rsidR="007A1B0B" w:rsidRPr="00E84498" w:rsidRDefault="007A1B0B" w:rsidP="006E577B">
      <w:pPr>
        <w:pStyle w:val="ListParagraph"/>
        <w:numPr>
          <w:ilvl w:val="0"/>
          <w:numId w:val="10"/>
        </w:numPr>
        <w:rPr>
          <w:rFonts w:ascii="Times New Roman" w:hAnsi="Times New Roman"/>
          <w:sz w:val="22"/>
          <w:szCs w:val="22"/>
        </w:rPr>
      </w:pPr>
      <w:r w:rsidRPr="00E84498">
        <w:rPr>
          <w:rFonts w:ascii="Times New Roman" w:hAnsi="Times New Roman"/>
          <w:sz w:val="22"/>
          <w:szCs w:val="22"/>
        </w:rPr>
        <w:t>Two LSBs of the H-SFN.</w:t>
      </w:r>
    </w:p>
    <w:p w14:paraId="260201D8" w14:textId="7B412E70" w:rsidR="007A1B0B" w:rsidRPr="00E84498" w:rsidRDefault="007A1B0B" w:rsidP="006E577B">
      <w:pPr>
        <w:pStyle w:val="ListParagraph"/>
        <w:numPr>
          <w:ilvl w:val="0"/>
          <w:numId w:val="10"/>
        </w:numPr>
        <w:rPr>
          <w:rFonts w:ascii="Times New Roman" w:hAnsi="Times New Roman"/>
          <w:sz w:val="22"/>
          <w:szCs w:val="22"/>
        </w:rPr>
      </w:pPr>
      <w:r w:rsidRPr="00E84498">
        <w:rPr>
          <w:rFonts w:ascii="Times New Roman" w:hAnsi="Times New Roman"/>
          <w:sz w:val="22"/>
          <w:szCs w:val="22"/>
        </w:rPr>
        <w:t>Information about System Information Block 1 (SIB1-NB) scheduling.</w:t>
      </w:r>
    </w:p>
    <w:p w14:paraId="360D8D84" w14:textId="69DA92CE" w:rsidR="007A1B0B" w:rsidRPr="00E84498" w:rsidRDefault="00C76377" w:rsidP="006E577B">
      <w:pPr>
        <w:pStyle w:val="ListParagraph"/>
        <w:numPr>
          <w:ilvl w:val="0"/>
          <w:numId w:val="10"/>
        </w:numPr>
        <w:rPr>
          <w:rFonts w:ascii="Times New Roman" w:hAnsi="Times New Roman"/>
          <w:sz w:val="22"/>
          <w:szCs w:val="22"/>
        </w:rPr>
      </w:pPr>
      <w:r w:rsidRPr="00E84498">
        <w:rPr>
          <w:rFonts w:ascii="Times New Roman" w:hAnsi="Times New Roman"/>
          <w:sz w:val="22"/>
          <w:szCs w:val="22"/>
        </w:rPr>
        <w:t>System information value tag.</w:t>
      </w:r>
    </w:p>
    <w:p w14:paraId="27649C4D" w14:textId="352A372C" w:rsidR="00225F21" w:rsidRPr="00E84498" w:rsidRDefault="00C76377" w:rsidP="006E577B">
      <w:pPr>
        <w:pStyle w:val="ListParagraph"/>
        <w:numPr>
          <w:ilvl w:val="0"/>
          <w:numId w:val="10"/>
        </w:numPr>
        <w:rPr>
          <w:rFonts w:ascii="Times New Roman" w:hAnsi="Times New Roman"/>
          <w:sz w:val="22"/>
          <w:szCs w:val="22"/>
        </w:rPr>
      </w:pPr>
      <w:r w:rsidRPr="00E84498">
        <w:rPr>
          <w:rFonts w:ascii="Times New Roman" w:hAnsi="Times New Roman"/>
          <w:sz w:val="22"/>
          <w:szCs w:val="22"/>
        </w:rPr>
        <w:t>Access barring information.</w:t>
      </w:r>
    </w:p>
    <w:p w14:paraId="6169C91A" w14:textId="3F917200" w:rsidR="00225F21" w:rsidRDefault="00C76377" w:rsidP="00501447">
      <w:r>
        <w:t xml:space="preserve">The UE can assume </w:t>
      </w:r>
      <w:r w:rsidR="0097789C">
        <w:t xml:space="preserve">information #3, #4, and #7 are the only ones which will be different from the earlier acquired information and treat the assumed unchanged ones as known in the TBCC decoding process. </w:t>
      </w:r>
      <w:r>
        <w:t xml:space="preserve">In the TBCC decoder, the known information bits can force the </w:t>
      </w:r>
      <w:r w:rsidR="00501447">
        <w:t xml:space="preserve">Viterbi decoder to take certain specific trellis paths as </w:t>
      </w:r>
      <w:r w:rsidR="00501447" w:rsidRPr="00501447">
        <w:t>the survival paths, which helps prune the potentially erroneous paths, thereby improving the decoder performance</w:t>
      </w:r>
      <w:r w:rsidR="00501447">
        <w:t xml:space="preserve">. The decoded MIB-NB will undergo CRC checking and if the CRC checking indicates error free, the assumption </w:t>
      </w:r>
      <w:r w:rsidR="00B9740D">
        <w:t>about the unchanged bits</w:t>
      </w:r>
      <w:r w:rsidR="00501447">
        <w:t xml:space="preserve"> is also confirmed.</w:t>
      </w:r>
    </w:p>
    <w:p w14:paraId="608A29B2" w14:textId="5D39F7E9" w:rsidR="00225F21" w:rsidRDefault="00501447" w:rsidP="00501447">
      <w:r>
        <w:t xml:space="preserve">The two advanced NPBCH decoding approaches </w:t>
      </w:r>
      <w:r w:rsidR="00817A8C">
        <w:t xml:space="preserve">described in this section </w:t>
      </w:r>
      <w:r>
        <w:t xml:space="preserve">can </w:t>
      </w:r>
      <w:r w:rsidR="00817A8C">
        <w:t>be combined, and its performance is shown in Figure 6.</w:t>
      </w:r>
      <w:r w:rsidR="00BD15BA">
        <w:t xml:space="preserve"> Building on top of the gain achieved by the joint decoder, if the assumed unchanged information within MIB-NB is used to prune the trellis during TBCC decoding, additional gains are achieved. Overall, both advanced decoder techniques jointly achieve close to 2 dB improvement.</w:t>
      </w:r>
    </w:p>
    <w:p w14:paraId="3D8F72A5" w14:textId="78571981" w:rsidR="00817A8C" w:rsidRDefault="00817A8C" w:rsidP="00501447"/>
    <w:p w14:paraId="407A6C77" w14:textId="0CEBC1F2" w:rsidR="00817A8C" w:rsidRDefault="00817A8C" w:rsidP="00D30FD9">
      <w:pPr>
        <w:jc w:val="center"/>
      </w:pPr>
      <w:r w:rsidRPr="00817A8C">
        <w:rPr>
          <w:noProof/>
          <w:lang w:eastAsia="zh-CN"/>
        </w:rPr>
        <w:drawing>
          <wp:inline distT="0" distB="0" distL="0" distR="0" wp14:anchorId="16638CB5" wp14:editId="4AD10888">
            <wp:extent cx="4492310" cy="33672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3803" cy="3368343"/>
                    </a:xfrm>
                    <a:prstGeom prst="rect">
                      <a:avLst/>
                    </a:prstGeom>
                    <a:noFill/>
                    <a:ln>
                      <a:noFill/>
                    </a:ln>
                  </pic:spPr>
                </pic:pic>
              </a:graphicData>
            </a:graphic>
          </wp:inline>
        </w:drawing>
      </w:r>
    </w:p>
    <w:p w14:paraId="69F61077" w14:textId="3EBE580C" w:rsidR="003D5A36" w:rsidRDefault="003D5A36" w:rsidP="003D5A36">
      <w:pPr>
        <w:pStyle w:val="Caption"/>
        <w:jc w:val="center"/>
      </w:pPr>
      <w:r>
        <w:t>Figure 6: MIB-NB reception performance with 1280 ms acquisition time. (in-band and guard-band modes, TU 1 Hz, and cross-subframe channel estimation with 20-ms interpolation window.)</w:t>
      </w:r>
    </w:p>
    <w:p w14:paraId="4B7C0E8C" w14:textId="2F7298D1" w:rsidR="003D5A36" w:rsidRDefault="003D5A36" w:rsidP="00501447"/>
    <w:p w14:paraId="5A5D4A96" w14:textId="1EA9FE5D" w:rsidR="00C24352" w:rsidRDefault="00823C66" w:rsidP="00501447">
      <w:r>
        <w:rPr>
          <w:rFonts w:cs="Arial"/>
          <w:b/>
          <w:i/>
        </w:rPr>
        <w:t>Observation 8</w:t>
      </w:r>
      <w:r w:rsidR="00C24352" w:rsidRPr="007A1B0B">
        <w:rPr>
          <w:rFonts w:cs="Arial"/>
          <w:b/>
          <w:i/>
        </w:rPr>
        <w:t>:</w:t>
      </w:r>
      <w:r w:rsidR="002F5A5C">
        <w:rPr>
          <w:rFonts w:cs="Arial"/>
          <w:b/>
          <w:i/>
        </w:rPr>
        <w:t xml:space="preserve"> </w:t>
      </w:r>
      <w:r w:rsidR="00C24352">
        <w:rPr>
          <w:rFonts w:cs="Arial"/>
          <w:b/>
          <w:i/>
        </w:rPr>
        <w:t xml:space="preserve">MIB-NB reception can be improved by approximately 2 dB using advanced decoding techniques without significantly increasing </w:t>
      </w:r>
      <w:r w:rsidR="00C40CDF">
        <w:rPr>
          <w:rFonts w:cs="Arial"/>
          <w:b/>
          <w:i/>
        </w:rPr>
        <w:t xml:space="preserve">the </w:t>
      </w:r>
      <w:r w:rsidR="00C24352">
        <w:rPr>
          <w:rFonts w:cs="Arial"/>
          <w:b/>
          <w:i/>
        </w:rPr>
        <w:t>decoder complexity.</w:t>
      </w:r>
    </w:p>
    <w:p w14:paraId="1C6D82A1" w14:textId="3CD546FE" w:rsidR="00D0025C" w:rsidRPr="00E330BC" w:rsidRDefault="008B5CAA" w:rsidP="00040C32">
      <w:pPr>
        <w:pStyle w:val="Heading1"/>
      </w:pPr>
      <w:r>
        <w:lastRenderedPageBreak/>
        <w:t>Conclusions</w:t>
      </w:r>
    </w:p>
    <w:p w14:paraId="0DC4FC53" w14:textId="2D1A7C4D" w:rsidR="00077B1B" w:rsidRPr="00D30FD9" w:rsidRDefault="00FD4489" w:rsidP="00633EFB">
      <w:pPr>
        <w:pStyle w:val="Heading1"/>
        <w:numPr>
          <w:ilvl w:val="0"/>
          <w:numId w:val="0"/>
        </w:numPr>
        <w:jc w:val="both"/>
        <w:rPr>
          <w:rFonts w:ascii="Times New Roman" w:hAnsi="Times New Roman" w:cs="Times New Roman"/>
          <w:bCs w:val="0"/>
          <w:sz w:val="22"/>
          <w:szCs w:val="24"/>
        </w:rPr>
      </w:pPr>
      <w:r w:rsidRPr="00D30FD9">
        <w:rPr>
          <w:rFonts w:ascii="Times New Roman" w:hAnsi="Times New Roman" w:cs="Times New Roman"/>
          <w:bCs w:val="0"/>
          <w:sz w:val="22"/>
          <w:szCs w:val="24"/>
        </w:rPr>
        <w:t>In this contribution, we discuss potential solutions that can reduce system acquisition time.</w:t>
      </w:r>
      <w:r w:rsidR="00077B1B" w:rsidRPr="00D30FD9">
        <w:rPr>
          <w:rFonts w:ascii="Times New Roman" w:hAnsi="Times New Roman" w:cs="Times New Roman"/>
          <w:bCs w:val="0"/>
          <w:sz w:val="22"/>
          <w:szCs w:val="24"/>
        </w:rPr>
        <w:t xml:space="preserve"> Based on the</w:t>
      </w:r>
      <w:r w:rsidR="00077B1B">
        <w:rPr>
          <w:rFonts w:ascii="Times New Roman" w:hAnsi="Times New Roman" w:cs="Times New Roman"/>
          <w:bCs w:val="0"/>
          <w:sz w:val="22"/>
          <w:szCs w:val="24"/>
        </w:rPr>
        <w:t xml:space="preserve"> </w:t>
      </w:r>
      <w:r w:rsidR="00077B1B" w:rsidRPr="00D30FD9">
        <w:rPr>
          <w:rFonts w:ascii="Times New Roman" w:hAnsi="Times New Roman" w:cs="Times New Roman"/>
          <w:bCs w:val="0"/>
          <w:sz w:val="22"/>
          <w:szCs w:val="24"/>
        </w:rPr>
        <w:t>discussions presented in this contribution, the below observations and proposals are made.</w:t>
      </w:r>
    </w:p>
    <w:p w14:paraId="07ADBCF1" w14:textId="77777777" w:rsidR="00D30FD9" w:rsidRPr="00633EFB" w:rsidRDefault="00D30FD9" w:rsidP="00D30FD9">
      <w:pPr>
        <w:rPr>
          <w:rFonts w:cs="Arial"/>
          <w:b/>
          <w:i/>
        </w:rPr>
      </w:pPr>
      <w:r w:rsidRPr="00633EFB">
        <w:rPr>
          <w:rFonts w:cs="Arial"/>
          <w:b/>
          <w:i/>
        </w:rPr>
        <w:t xml:space="preserve">Observation 1: </w:t>
      </w:r>
      <w:r>
        <w:rPr>
          <w:rFonts w:cs="Arial"/>
          <w:b/>
          <w:i/>
        </w:rPr>
        <w:t>I</w:t>
      </w:r>
      <w:r w:rsidRPr="00611383">
        <w:rPr>
          <w:rFonts w:cs="Arial"/>
          <w:b/>
          <w:i/>
        </w:rPr>
        <w:t xml:space="preserve">mprovement for system acquisition time reduction should primarily target the in-band mode. The solutions </w:t>
      </w:r>
      <w:r>
        <w:rPr>
          <w:rFonts w:cs="Arial"/>
          <w:b/>
          <w:i/>
        </w:rPr>
        <w:t xml:space="preserve">that </w:t>
      </w:r>
      <w:r w:rsidRPr="00611383">
        <w:rPr>
          <w:rFonts w:cs="Arial"/>
          <w:b/>
          <w:i/>
        </w:rPr>
        <w:t>can reduce the system acquisition time for the in-band mode can be directly applied to the guard-band and standalone modes</w:t>
      </w:r>
      <w:r>
        <w:rPr>
          <w:rFonts w:cs="Arial"/>
          <w:b/>
          <w:i/>
        </w:rPr>
        <w:t xml:space="preserve"> as well</w:t>
      </w:r>
      <w:r w:rsidRPr="00611383">
        <w:rPr>
          <w:rFonts w:cs="Arial"/>
          <w:b/>
          <w:i/>
        </w:rPr>
        <w:t>.</w:t>
      </w:r>
    </w:p>
    <w:p w14:paraId="251E3B8A" w14:textId="77777777" w:rsidR="00D30FD9" w:rsidRPr="009057D1" w:rsidRDefault="00D30FD9" w:rsidP="00D30FD9">
      <w:pPr>
        <w:rPr>
          <w:b/>
          <w:i/>
        </w:rPr>
      </w:pPr>
      <w:r w:rsidRPr="009057D1">
        <w:rPr>
          <w:b/>
          <w:i/>
        </w:rPr>
        <w:t>Observation 2: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7053C339" w14:textId="77777777" w:rsidR="00D30FD9" w:rsidRPr="00301C73" w:rsidRDefault="00D30FD9" w:rsidP="00D30FD9">
      <w:pPr>
        <w:rPr>
          <w:rFonts w:cs="Arial"/>
          <w:b/>
          <w:i/>
        </w:rPr>
      </w:pPr>
      <w:r w:rsidRPr="00301C73">
        <w:rPr>
          <w:rFonts w:cs="Arial"/>
          <w:b/>
          <w:i/>
        </w:rPr>
        <w:t>Observation 3: Cross-subframe channel estimation improves MIB-NB acquisition performance significantly.</w:t>
      </w:r>
    </w:p>
    <w:p w14:paraId="36FA0FD9" w14:textId="77777777" w:rsidR="00D30FD9" w:rsidRPr="00301C73" w:rsidRDefault="00D30FD9" w:rsidP="00D30FD9">
      <w:pPr>
        <w:rPr>
          <w:rFonts w:cs="Arial"/>
          <w:b/>
          <w:i/>
        </w:rPr>
      </w:pPr>
      <w:r>
        <w:rPr>
          <w:rFonts w:cs="Arial"/>
          <w:b/>
          <w:i/>
        </w:rPr>
        <w:t>Observation 4</w:t>
      </w:r>
      <w:r w:rsidRPr="00301C73">
        <w:rPr>
          <w:rFonts w:cs="Arial"/>
          <w:b/>
          <w:i/>
        </w:rPr>
        <w:t>: With cross-subframe channel estimation, the average MIB-NB acquisition time is less than 100 ms in stand-alone operation.</w:t>
      </w:r>
    </w:p>
    <w:p w14:paraId="323EC95B" w14:textId="77777777" w:rsidR="00D30FD9" w:rsidRPr="00301C73" w:rsidRDefault="00D30FD9" w:rsidP="00D30FD9">
      <w:pPr>
        <w:rPr>
          <w:rFonts w:cs="Arial"/>
          <w:b/>
          <w:i/>
        </w:rPr>
      </w:pPr>
      <w:r>
        <w:rPr>
          <w:rFonts w:cs="Arial"/>
          <w:b/>
          <w:i/>
        </w:rPr>
        <w:t>Observation 5</w:t>
      </w:r>
      <w:r w:rsidRPr="00301C73">
        <w:rPr>
          <w:rFonts w:cs="Arial"/>
          <w:b/>
          <w:i/>
        </w:rPr>
        <w:t>: With cross-subframe channel estimation, the average MIB-NB acquisition time is less than 400 ms in in-band and guard-band operations.</w:t>
      </w:r>
    </w:p>
    <w:p w14:paraId="32E610F7" w14:textId="77777777" w:rsidR="00D30FD9" w:rsidRPr="007A1B0B" w:rsidRDefault="00D30FD9" w:rsidP="00D30FD9">
      <w:pPr>
        <w:rPr>
          <w:rFonts w:cs="Arial"/>
          <w:b/>
          <w:i/>
        </w:rPr>
      </w:pPr>
      <w:r>
        <w:rPr>
          <w:rFonts w:cs="Arial"/>
          <w:b/>
          <w:i/>
        </w:rPr>
        <w:t>Observation 6</w:t>
      </w:r>
      <w:r w:rsidRPr="007A1B0B">
        <w:rPr>
          <w:rFonts w:cs="Arial"/>
          <w:b/>
          <w:i/>
        </w:rPr>
        <w:t>: Exploiting the linear code properties of CRC and TBCC, joint decoding across multiple NPBCH TTI’s can be done by simply applying an appropriate descrambling mask to the bit soft values before combining the TBCC codewords across multiple TTIs.</w:t>
      </w:r>
    </w:p>
    <w:p w14:paraId="61B329CB" w14:textId="3ADCE8BC" w:rsidR="00823C66" w:rsidRPr="00946C1B" w:rsidRDefault="00823C66" w:rsidP="00823C66">
      <w:pPr>
        <w:rPr>
          <w:szCs w:val="22"/>
        </w:rPr>
      </w:pPr>
      <w:r>
        <w:rPr>
          <w:rFonts w:cs="Arial"/>
          <w:b/>
          <w:i/>
        </w:rPr>
        <w:t>Observation 7</w:t>
      </w:r>
      <w:r w:rsidRPr="007A1B0B">
        <w:rPr>
          <w:rFonts w:cs="Arial"/>
          <w:b/>
          <w:i/>
        </w:rPr>
        <w:t>:</w:t>
      </w:r>
      <w:r>
        <w:rPr>
          <w:rFonts w:cs="Arial"/>
          <w:b/>
          <w:i/>
        </w:rPr>
        <w:t xml:space="preserve"> There is no significant increase in decoding complexity for jointly decoding MIB-NB over consecutive TTIs as the number of states per TBCC decoding stage is kept at 64.</w:t>
      </w:r>
    </w:p>
    <w:p w14:paraId="3706545C" w14:textId="629EA5BF" w:rsidR="00D30FD9" w:rsidRDefault="00D30FD9" w:rsidP="00D30FD9">
      <w:pPr>
        <w:rPr>
          <w:rFonts w:cs="Arial"/>
          <w:b/>
          <w:i/>
        </w:rPr>
      </w:pPr>
      <w:r>
        <w:rPr>
          <w:rFonts w:cs="Arial"/>
          <w:b/>
          <w:i/>
        </w:rPr>
        <w:t xml:space="preserve">Observation </w:t>
      </w:r>
      <w:r w:rsidR="00823C66">
        <w:rPr>
          <w:rFonts w:cs="Arial"/>
          <w:b/>
          <w:i/>
        </w:rPr>
        <w:t>8</w:t>
      </w:r>
      <w:r w:rsidRPr="007A1B0B">
        <w:rPr>
          <w:rFonts w:cs="Arial"/>
          <w:b/>
          <w:i/>
        </w:rPr>
        <w:t>:</w:t>
      </w:r>
      <w:r>
        <w:rPr>
          <w:rFonts w:cs="Arial"/>
          <w:b/>
          <w:i/>
        </w:rPr>
        <w:t xml:space="preserve"> MIB-NB reception can be improved by approximately 2 dB using advanced decoding techniques without significantly increasing the decoder complexity.</w:t>
      </w:r>
    </w:p>
    <w:p w14:paraId="49201165" w14:textId="75F8CB12" w:rsidR="00D30FD9" w:rsidRDefault="00D30FD9" w:rsidP="00D30FD9">
      <w:pPr>
        <w:rPr>
          <w:rFonts w:cs="Arial"/>
          <w:b/>
          <w:i/>
        </w:rPr>
      </w:pPr>
    </w:p>
    <w:p w14:paraId="1C5EE155" w14:textId="77777777" w:rsidR="00D30FD9" w:rsidRPr="002C3EC8" w:rsidRDefault="00D30FD9" w:rsidP="00D30FD9">
      <w:pPr>
        <w:rPr>
          <w:b/>
          <w:i/>
        </w:rPr>
      </w:pPr>
      <w:r w:rsidRPr="002C3EC8">
        <w:rPr>
          <w:b/>
          <w:i/>
        </w:rPr>
        <w:t>Proposal 1: Rel-15 does not consider using the 3 unused OFDM symbols in subframes carrying NPSS/NSSS for additional NPSS/NSSS transmissions.</w:t>
      </w:r>
    </w:p>
    <w:p w14:paraId="64937017" w14:textId="063D60A3" w:rsidR="00D30FD9" w:rsidRPr="00D30FD9" w:rsidRDefault="00D30FD9" w:rsidP="00D30FD9">
      <w:pPr>
        <w:rPr>
          <w:rFonts w:cs="Arial"/>
          <w:b/>
          <w:i/>
        </w:rPr>
      </w:pPr>
      <w:r w:rsidRPr="009057D1">
        <w:rPr>
          <w:rFonts w:cs="Arial"/>
          <w:b/>
          <w:i/>
        </w:rPr>
        <w:t>Proposal 2: Using more NPBCH subframes is not consider</w:t>
      </w:r>
      <w:r>
        <w:rPr>
          <w:rFonts w:cs="Arial"/>
          <w:b/>
          <w:i/>
        </w:rPr>
        <w:t>ed</w:t>
      </w:r>
      <w:r w:rsidRPr="009057D1">
        <w:rPr>
          <w:rFonts w:cs="Arial"/>
          <w:b/>
          <w:i/>
        </w:rPr>
        <w:t xml:space="preserve"> in Rel-15.</w:t>
      </w:r>
    </w:p>
    <w:p w14:paraId="1943BE1C" w14:textId="77777777" w:rsidR="00D0025C" w:rsidRPr="00040C32" w:rsidRDefault="00D0025C" w:rsidP="009F15B1">
      <w:pPr>
        <w:pStyle w:val="Heading1"/>
      </w:pPr>
      <w:r w:rsidRPr="00040C32">
        <w:t>References</w:t>
      </w:r>
    </w:p>
    <w:p w14:paraId="70C8CB0F" w14:textId="0AE542FB" w:rsidR="00E6086E" w:rsidRPr="006105F8" w:rsidRDefault="006336FE" w:rsidP="006E577B">
      <w:pPr>
        <w:numPr>
          <w:ilvl w:val="0"/>
          <w:numId w:val="4"/>
        </w:numPr>
        <w:overflowPunct w:val="0"/>
        <w:autoSpaceDE w:val="0"/>
        <w:autoSpaceDN w:val="0"/>
        <w:adjustRightInd w:val="0"/>
        <w:spacing w:after="180"/>
        <w:textAlignment w:val="baseline"/>
      </w:pPr>
      <w:bookmarkStart w:id="3" w:name="_Ref462665614"/>
      <w:r w:rsidRPr="006105F8">
        <w:t>RP-170852</w:t>
      </w:r>
      <w:r w:rsidR="00D0025C" w:rsidRPr="006105F8">
        <w:t>, “</w:t>
      </w:r>
      <w:r w:rsidRPr="006105F8">
        <w:t>Further NB-IoT enhancements</w:t>
      </w:r>
      <w:r w:rsidR="001305AB">
        <w:t>,</w:t>
      </w:r>
      <w:r w:rsidR="00D0025C" w:rsidRPr="006105F8">
        <w:t>” RAN#7</w:t>
      </w:r>
      <w:r w:rsidRPr="006105F8">
        <w:t>5</w:t>
      </w:r>
      <w:r w:rsidR="00D0025C" w:rsidRPr="006105F8">
        <w:t>, source Huawei, HiSilicon,</w:t>
      </w:r>
      <w:r w:rsidRPr="006105F8">
        <w:t xml:space="preserve"> Neul, 6 – 9</w:t>
      </w:r>
      <w:r w:rsidR="00D0025C" w:rsidRPr="006105F8">
        <w:t xml:space="preserve"> </w:t>
      </w:r>
      <w:r w:rsidRPr="006105F8">
        <w:t>March, 2017</w:t>
      </w:r>
      <w:r w:rsidR="00D0025C" w:rsidRPr="006105F8">
        <w:t>.</w:t>
      </w:r>
      <w:bookmarkEnd w:id="3"/>
    </w:p>
    <w:p w14:paraId="24DDB98D" w14:textId="7CCFD842" w:rsidR="00EB2D78" w:rsidRDefault="00EB2D78" w:rsidP="006E577B">
      <w:pPr>
        <w:numPr>
          <w:ilvl w:val="0"/>
          <w:numId w:val="4"/>
        </w:numPr>
        <w:overflowPunct w:val="0"/>
        <w:autoSpaceDE w:val="0"/>
        <w:autoSpaceDN w:val="0"/>
        <w:adjustRightInd w:val="0"/>
        <w:spacing w:after="180"/>
        <w:textAlignment w:val="baseline"/>
        <w:rPr>
          <w:rFonts w:cs="Arial"/>
          <w:lang w:val="de-DE"/>
        </w:rPr>
      </w:pPr>
      <w:r w:rsidRPr="00465C82">
        <w:t>R1-1701571</w:t>
      </w:r>
      <w:r>
        <w:rPr>
          <w:rFonts w:cs="Arial"/>
          <w:lang w:val="de-DE"/>
        </w:rPr>
        <w:t>,</w:t>
      </w:r>
      <w:r w:rsidRPr="007752FF">
        <w:t xml:space="preserve"> </w:t>
      </w:r>
      <w:r>
        <w:t>“</w:t>
      </w:r>
      <w:r w:rsidRPr="007752FF">
        <w:rPr>
          <w:rFonts w:cs="Arial"/>
          <w:lang w:val="de-DE"/>
        </w:rPr>
        <w:t>LS to RAN1, RAN2 on eNB-IoT SI acquisition delay</w:t>
      </w:r>
      <w:r w:rsidR="001305AB">
        <w:rPr>
          <w:rFonts w:cs="Arial"/>
          <w:lang w:val="de-DE"/>
        </w:rPr>
        <w:t>,</w:t>
      </w:r>
      <w:r>
        <w:rPr>
          <w:rFonts w:cs="Arial"/>
          <w:lang w:val="de-DE"/>
        </w:rPr>
        <w:t>“ Incoming LS, Source: RAN4, To: RAN1, RAN2, RAN1#88, February 2017.</w:t>
      </w:r>
    </w:p>
    <w:p w14:paraId="48618F25" w14:textId="71ECD4B1" w:rsidR="000B5175" w:rsidRPr="006105F8" w:rsidRDefault="00166321" w:rsidP="006E577B">
      <w:pPr>
        <w:numPr>
          <w:ilvl w:val="0"/>
          <w:numId w:val="4"/>
        </w:numPr>
        <w:overflowPunct w:val="0"/>
        <w:autoSpaceDE w:val="0"/>
        <w:autoSpaceDN w:val="0"/>
        <w:adjustRightInd w:val="0"/>
        <w:spacing w:after="180"/>
        <w:textAlignment w:val="baseline"/>
      </w:pPr>
      <w:r w:rsidRPr="006105F8">
        <w:t>R1-1705188, “On system acquisition time reduction</w:t>
      </w:r>
      <w:r w:rsidR="001305AB">
        <w:t>,”</w:t>
      </w:r>
      <w:r w:rsidRPr="006105F8">
        <w:t xml:space="preserve"> RAN1#88b, source Ericsson, 3 – 7 April, 2017.</w:t>
      </w:r>
    </w:p>
    <w:p w14:paraId="6527C494" w14:textId="65E70199" w:rsidR="00674053" w:rsidRPr="0074676D" w:rsidRDefault="00674053" w:rsidP="0074676D">
      <w:pPr>
        <w:rPr>
          <w:rFonts w:cs="Arial"/>
        </w:rPr>
      </w:pPr>
    </w:p>
    <w:sectPr w:rsidR="00674053" w:rsidRPr="0074676D" w:rsidSect="008F64CA">
      <w:headerReference w:type="even" r:id="rId17"/>
      <w:headerReference w:type="default" r:id="rId18"/>
      <w:footerReference w:type="even" r:id="rId19"/>
      <w:footerReference w:type="default" r:id="rId20"/>
      <w:headerReference w:type="first" r:id="rId21"/>
      <w:footerReference w:type="first" r:id="rId2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E5BF5" w14:textId="77777777" w:rsidR="00A80E97" w:rsidRDefault="00A80E97">
      <w:pPr>
        <w:spacing w:after="0"/>
      </w:pPr>
      <w:r>
        <w:separator/>
      </w:r>
    </w:p>
  </w:endnote>
  <w:endnote w:type="continuationSeparator" w:id="0">
    <w:p w14:paraId="570B1039" w14:textId="77777777" w:rsidR="00A80E97" w:rsidRDefault="00A80E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CFF0E" w14:textId="77777777" w:rsidR="0037667A" w:rsidRDefault="00376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145B17EA" w:rsidR="00A44914" w:rsidRDefault="00A44914">
    <w:pPr>
      <w:pStyle w:val="Footer"/>
      <w:ind w:right="-1521"/>
    </w:pPr>
    <w:r>
      <w:rPr>
        <w:rStyle w:val="PageNumber"/>
      </w:rPr>
      <w:fldChar w:fldCharType="begin"/>
    </w:r>
    <w:r>
      <w:rPr>
        <w:rStyle w:val="PageNumber"/>
      </w:rPr>
      <w:instrText xml:space="preserve"> PAGE </w:instrText>
    </w:r>
    <w:r>
      <w:rPr>
        <w:rStyle w:val="PageNumber"/>
      </w:rPr>
      <w:fldChar w:fldCharType="separate"/>
    </w:r>
    <w:r w:rsidR="00DB7A42">
      <w:rPr>
        <w:rStyle w:val="PageNumber"/>
      </w:rPr>
      <w:t>9</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7A42">
      <w:rPr>
        <w:rStyle w:val="PageNumber"/>
      </w:rPr>
      <w:t>9</w:t>
    </w:r>
    <w:r>
      <w:rPr>
        <w:rStyle w:val="PageNumber"/>
      </w:rPr>
      <w:fldChar w:fldCharType="end"/>
    </w:r>
    <w:r>
      <w:rPr>
        <w:rStyle w:val="PageNumber"/>
      </w:rPr>
      <w:t>)</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1EB28202" w:rsidR="00A44914" w:rsidRDefault="00A44914">
    <w:pPr>
      <w:pStyle w:val="Footer"/>
    </w:pPr>
    <w:r>
      <w:rPr>
        <w:rStyle w:val="PageNumber"/>
      </w:rPr>
      <w:fldChar w:fldCharType="begin"/>
    </w:r>
    <w:r>
      <w:rPr>
        <w:rStyle w:val="PageNumber"/>
      </w:rPr>
      <w:instrText xml:space="preserve"> PAGE </w:instrText>
    </w:r>
    <w:r>
      <w:rPr>
        <w:rStyle w:val="PageNumber"/>
      </w:rPr>
      <w:fldChar w:fldCharType="separate"/>
    </w:r>
    <w:r w:rsidR="00DB7A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7A42">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ADE48" w14:textId="77777777" w:rsidR="00A80E97" w:rsidRDefault="00A80E97">
      <w:pPr>
        <w:spacing w:after="0"/>
      </w:pPr>
      <w:r>
        <w:separator/>
      </w:r>
    </w:p>
  </w:footnote>
  <w:footnote w:type="continuationSeparator" w:id="0">
    <w:p w14:paraId="1BA21638" w14:textId="77777777" w:rsidR="00A80E97" w:rsidRDefault="00A80E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9DCD3" w14:textId="77777777" w:rsidR="0037667A" w:rsidRDefault="00376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A44914" w:rsidRPr="006A0FC7" w:rsidRDefault="00A44914"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A44914" w:rsidRPr="00BF30DA" w:rsidRDefault="00A44914"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4"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3"/>
  </w:num>
  <w:num w:numId="5">
    <w:abstractNumId w:val="5"/>
  </w:num>
  <w:num w:numId="6">
    <w:abstractNumId w:val="9"/>
  </w:num>
  <w:num w:numId="7">
    <w:abstractNumId w:val="8"/>
  </w:num>
  <w:num w:numId="8">
    <w:abstractNumId w:val="4"/>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23947"/>
    <w:rsid w:val="000246B6"/>
    <w:rsid w:val="00026998"/>
    <w:rsid w:val="00030434"/>
    <w:rsid w:val="00032044"/>
    <w:rsid w:val="00040C32"/>
    <w:rsid w:val="00042F9B"/>
    <w:rsid w:val="000458F1"/>
    <w:rsid w:val="00050CE3"/>
    <w:rsid w:val="00054C9C"/>
    <w:rsid w:val="00064EC6"/>
    <w:rsid w:val="00065736"/>
    <w:rsid w:val="00067587"/>
    <w:rsid w:val="000713E2"/>
    <w:rsid w:val="00073095"/>
    <w:rsid w:val="00077B1B"/>
    <w:rsid w:val="00087413"/>
    <w:rsid w:val="000900F5"/>
    <w:rsid w:val="000A1844"/>
    <w:rsid w:val="000A3E5D"/>
    <w:rsid w:val="000A6ED3"/>
    <w:rsid w:val="000B5175"/>
    <w:rsid w:val="000C0578"/>
    <w:rsid w:val="000C5230"/>
    <w:rsid w:val="000D6E7E"/>
    <w:rsid w:val="000E237B"/>
    <w:rsid w:val="000E4DCC"/>
    <w:rsid w:val="000E51FE"/>
    <w:rsid w:val="000F1B6D"/>
    <w:rsid w:val="000F1CFD"/>
    <w:rsid w:val="000F4D52"/>
    <w:rsid w:val="000F6784"/>
    <w:rsid w:val="000F6FF5"/>
    <w:rsid w:val="00100216"/>
    <w:rsid w:val="00103529"/>
    <w:rsid w:val="001111C8"/>
    <w:rsid w:val="0011133B"/>
    <w:rsid w:val="00112C00"/>
    <w:rsid w:val="0011695D"/>
    <w:rsid w:val="001173BC"/>
    <w:rsid w:val="00120F8D"/>
    <w:rsid w:val="00122163"/>
    <w:rsid w:val="00127903"/>
    <w:rsid w:val="0013001D"/>
    <w:rsid w:val="001305AB"/>
    <w:rsid w:val="00134AC8"/>
    <w:rsid w:val="001421FF"/>
    <w:rsid w:val="0014525B"/>
    <w:rsid w:val="00145F76"/>
    <w:rsid w:val="001468F8"/>
    <w:rsid w:val="00146E22"/>
    <w:rsid w:val="001476A2"/>
    <w:rsid w:val="00153462"/>
    <w:rsid w:val="00155CA9"/>
    <w:rsid w:val="001653B4"/>
    <w:rsid w:val="00166321"/>
    <w:rsid w:val="00167A91"/>
    <w:rsid w:val="001746B7"/>
    <w:rsid w:val="001824D7"/>
    <w:rsid w:val="00182E1C"/>
    <w:rsid w:val="00183C5E"/>
    <w:rsid w:val="00186EB2"/>
    <w:rsid w:val="00187411"/>
    <w:rsid w:val="001920C1"/>
    <w:rsid w:val="00194D02"/>
    <w:rsid w:val="001A15F9"/>
    <w:rsid w:val="001A2578"/>
    <w:rsid w:val="001A2FFC"/>
    <w:rsid w:val="001A52BB"/>
    <w:rsid w:val="001A5A1C"/>
    <w:rsid w:val="001B1EE9"/>
    <w:rsid w:val="001B591D"/>
    <w:rsid w:val="001D2761"/>
    <w:rsid w:val="001D5825"/>
    <w:rsid w:val="001E5F69"/>
    <w:rsid w:val="001F1128"/>
    <w:rsid w:val="001F39CD"/>
    <w:rsid w:val="0020440B"/>
    <w:rsid w:val="002070CF"/>
    <w:rsid w:val="0021026C"/>
    <w:rsid w:val="00210DE0"/>
    <w:rsid w:val="0021185C"/>
    <w:rsid w:val="00211A8D"/>
    <w:rsid w:val="002149B3"/>
    <w:rsid w:val="00225BDF"/>
    <w:rsid w:val="00225F21"/>
    <w:rsid w:val="002345BF"/>
    <w:rsid w:val="002346A8"/>
    <w:rsid w:val="00240532"/>
    <w:rsid w:val="00243252"/>
    <w:rsid w:val="00246705"/>
    <w:rsid w:val="00250B34"/>
    <w:rsid w:val="0025283A"/>
    <w:rsid w:val="00252A5E"/>
    <w:rsid w:val="00254977"/>
    <w:rsid w:val="00260842"/>
    <w:rsid w:val="00274655"/>
    <w:rsid w:val="002848DE"/>
    <w:rsid w:val="00286985"/>
    <w:rsid w:val="00292366"/>
    <w:rsid w:val="00294AA7"/>
    <w:rsid w:val="002A5F54"/>
    <w:rsid w:val="002B3029"/>
    <w:rsid w:val="002C090C"/>
    <w:rsid w:val="002C3241"/>
    <w:rsid w:val="002C3EC8"/>
    <w:rsid w:val="002C4D77"/>
    <w:rsid w:val="002C777A"/>
    <w:rsid w:val="002C7894"/>
    <w:rsid w:val="002D41B6"/>
    <w:rsid w:val="002E3796"/>
    <w:rsid w:val="002E4823"/>
    <w:rsid w:val="002E6163"/>
    <w:rsid w:val="002E6E6D"/>
    <w:rsid w:val="002F0B9F"/>
    <w:rsid w:val="002F1E0C"/>
    <w:rsid w:val="002F5297"/>
    <w:rsid w:val="002F5A5C"/>
    <w:rsid w:val="002F6616"/>
    <w:rsid w:val="00301C73"/>
    <w:rsid w:val="00302688"/>
    <w:rsid w:val="003036B0"/>
    <w:rsid w:val="0030478D"/>
    <w:rsid w:val="00304B8A"/>
    <w:rsid w:val="00314D8B"/>
    <w:rsid w:val="00320EC5"/>
    <w:rsid w:val="003235A5"/>
    <w:rsid w:val="00327D85"/>
    <w:rsid w:val="003317F8"/>
    <w:rsid w:val="0033211A"/>
    <w:rsid w:val="003344F3"/>
    <w:rsid w:val="00350056"/>
    <w:rsid w:val="0037062D"/>
    <w:rsid w:val="0037667A"/>
    <w:rsid w:val="00382406"/>
    <w:rsid w:val="00383189"/>
    <w:rsid w:val="0038546A"/>
    <w:rsid w:val="003914A6"/>
    <w:rsid w:val="00396414"/>
    <w:rsid w:val="003A3526"/>
    <w:rsid w:val="003A3D1D"/>
    <w:rsid w:val="003A79AB"/>
    <w:rsid w:val="003B163E"/>
    <w:rsid w:val="003B70D0"/>
    <w:rsid w:val="003C2A4E"/>
    <w:rsid w:val="003C6570"/>
    <w:rsid w:val="003C7664"/>
    <w:rsid w:val="003D30F6"/>
    <w:rsid w:val="003D3A36"/>
    <w:rsid w:val="003D5A36"/>
    <w:rsid w:val="003E46E6"/>
    <w:rsid w:val="00400FF7"/>
    <w:rsid w:val="00406175"/>
    <w:rsid w:val="004177A0"/>
    <w:rsid w:val="00420331"/>
    <w:rsid w:val="0042082E"/>
    <w:rsid w:val="00422A84"/>
    <w:rsid w:val="00426FD6"/>
    <w:rsid w:val="004325D0"/>
    <w:rsid w:val="004360A7"/>
    <w:rsid w:val="00473761"/>
    <w:rsid w:val="004769BB"/>
    <w:rsid w:val="00481C6D"/>
    <w:rsid w:val="00486DA9"/>
    <w:rsid w:val="00487384"/>
    <w:rsid w:val="004901C7"/>
    <w:rsid w:val="00492325"/>
    <w:rsid w:val="00492C7C"/>
    <w:rsid w:val="00494FD0"/>
    <w:rsid w:val="004A27EF"/>
    <w:rsid w:val="004A6C62"/>
    <w:rsid w:val="004A6F8E"/>
    <w:rsid w:val="004A754A"/>
    <w:rsid w:val="004B16A3"/>
    <w:rsid w:val="004B2104"/>
    <w:rsid w:val="004B5641"/>
    <w:rsid w:val="004C5C00"/>
    <w:rsid w:val="004E25C1"/>
    <w:rsid w:val="004E55F1"/>
    <w:rsid w:val="004E6FA6"/>
    <w:rsid w:val="004F1A79"/>
    <w:rsid w:val="004F415C"/>
    <w:rsid w:val="004F42FB"/>
    <w:rsid w:val="004F6586"/>
    <w:rsid w:val="00501447"/>
    <w:rsid w:val="00502083"/>
    <w:rsid w:val="00503F5F"/>
    <w:rsid w:val="00506846"/>
    <w:rsid w:val="00514643"/>
    <w:rsid w:val="00516E84"/>
    <w:rsid w:val="005220A3"/>
    <w:rsid w:val="0052775E"/>
    <w:rsid w:val="00532695"/>
    <w:rsid w:val="00532ABE"/>
    <w:rsid w:val="00535CFA"/>
    <w:rsid w:val="00541BD8"/>
    <w:rsid w:val="0054204E"/>
    <w:rsid w:val="00542E85"/>
    <w:rsid w:val="00545DBC"/>
    <w:rsid w:val="00551443"/>
    <w:rsid w:val="00551E65"/>
    <w:rsid w:val="00552672"/>
    <w:rsid w:val="005549B8"/>
    <w:rsid w:val="005549D7"/>
    <w:rsid w:val="00556DD7"/>
    <w:rsid w:val="005578FC"/>
    <w:rsid w:val="00560A00"/>
    <w:rsid w:val="00561FE2"/>
    <w:rsid w:val="00562747"/>
    <w:rsid w:val="0056324C"/>
    <w:rsid w:val="00565213"/>
    <w:rsid w:val="00567905"/>
    <w:rsid w:val="00570629"/>
    <w:rsid w:val="00574782"/>
    <w:rsid w:val="005819F1"/>
    <w:rsid w:val="00585A8F"/>
    <w:rsid w:val="0058763E"/>
    <w:rsid w:val="00587BFF"/>
    <w:rsid w:val="00590754"/>
    <w:rsid w:val="005A2136"/>
    <w:rsid w:val="005A2DC7"/>
    <w:rsid w:val="005A5F6A"/>
    <w:rsid w:val="005A73F9"/>
    <w:rsid w:val="005B3AC1"/>
    <w:rsid w:val="005B43FF"/>
    <w:rsid w:val="005B7FD3"/>
    <w:rsid w:val="005C1045"/>
    <w:rsid w:val="005C43AF"/>
    <w:rsid w:val="005D0804"/>
    <w:rsid w:val="005D2421"/>
    <w:rsid w:val="005D5FB2"/>
    <w:rsid w:val="005D7A30"/>
    <w:rsid w:val="005D7EAB"/>
    <w:rsid w:val="005F0049"/>
    <w:rsid w:val="005F1BF9"/>
    <w:rsid w:val="005F2340"/>
    <w:rsid w:val="005F2777"/>
    <w:rsid w:val="005F50CF"/>
    <w:rsid w:val="005F5F23"/>
    <w:rsid w:val="006040BD"/>
    <w:rsid w:val="006105F8"/>
    <w:rsid w:val="00611383"/>
    <w:rsid w:val="00611E08"/>
    <w:rsid w:val="006120D3"/>
    <w:rsid w:val="00616BF7"/>
    <w:rsid w:val="00622DD5"/>
    <w:rsid w:val="00622DDC"/>
    <w:rsid w:val="0063051D"/>
    <w:rsid w:val="00631B7D"/>
    <w:rsid w:val="006336FE"/>
    <w:rsid w:val="00633EFB"/>
    <w:rsid w:val="00635F56"/>
    <w:rsid w:val="0063781B"/>
    <w:rsid w:val="006408F9"/>
    <w:rsid w:val="00650072"/>
    <w:rsid w:val="00650DFB"/>
    <w:rsid w:val="00653B0D"/>
    <w:rsid w:val="006571DE"/>
    <w:rsid w:val="00661BF5"/>
    <w:rsid w:val="006635DF"/>
    <w:rsid w:val="00664815"/>
    <w:rsid w:val="00665B79"/>
    <w:rsid w:val="00670718"/>
    <w:rsid w:val="00674053"/>
    <w:rsid w:val="00676F66"/>
    <w:rsid w:val="0069393C"/>
    <w:rsid w:val="00693B4E"/>
    <w:rsid w:val="0069737F"/>
    <w:rsid w:val="006A1AC3"/>
    <w:rsid w:val="006A3A54"/>
    <w:rsid w:val="006B1E31"/>
    <w:rsid w:val="006B23B9"/>
    <w:rsid w:val="006B2B29"/>
    <w:rsid w:val="006B3F0B"/>
    <w:rsid w:val="006C1A2D"/>
    <w:rsid w:val="006C3209"/>
    <w:rsid w:val="006C4E4F"/>
    <w:rsid w:val="006C55B8"/>
    <w:rsid w:val="006D10B4"/>
    <w:rsid w:val="006D1688"/>
    <w:rsid w:val="006D1CC4"/>
    <w:rsid w:val="006D50D6"/>
    <w:rsid w:val="006D774A"/>
    <w:rsid w:val="006E0934"/>
    <w:rsid w:val="006E48D6"/>
    <w:rsid w:val="006E577B"/>
    <w:rsid w:val="007003FC"/>
    <w:rsid w:val="007127E1"/>
    <w:rsid w:val="00730249"/>
    <w:rsid w:val="0073097D"/>
    <w:rsid w:val="00737463"/>
    <w:rsid w:val="0074094A"/>
    <w:rsid w:val="0074676D"/>
    <w:rsid w:val="00752444"/>
    <w:rsid w:val="00761D18"/>
    <w:rsid w:val="007656D3"/>
    <w:rsid w:val="00766DE5"/>
    <w:rsid w:val="00771E1A"/>
    <w:rsid w:val="00773048"/>
    <w:rsid w:val="00776B00"/>
    <w:rsid w:val="00782477"/>
    <w:rsid w:val="007863C5"/>
    <w:rsid w:val="0078652C"/>
    <w:rsid w:val="00786A10"/>
    <w:rsid w:val="007871A4"/>
    <w:rsid w:val="00792756"/>
    <w:rsid w:val="007A1B0B"/>
    <w:rsid w:val="007A1D4C"/>
    <w:rsid w:val="007A2E89"/>
    <w:rsid w:val="007A4C7D"/>
    <w:rsid w:val="007C0300"/>
    <w:rsid w:val="007C0E55"/>
    <w:rsid w:val="007C5560"/>
    <w:rsid w:val="007C7D08"/>
    <w:rsid w:val="007D1822"/>
    <w:rsid w:val="007D3134"/>
    <w:rsid w:val="007D3B77"/>
    <w:rsid w:val="007E7BC4"/>
    <w:rsid w:val="007F2B85"/>
    <w:rsid w:val="007F5C12"/>
    <w:rsid w:val="007F6408"/>
    <w:rsid w:val="00804CB5"/>
    <w:rsid w:val="00807936"/>
    <w:rsid w:val="00810B99"/>
    <w:rsid w:val="00817A8C"/>
    <w:rsid w:val="008227C8"/>
    <w:rsid w:val="00823C66"/>
    <w:rsid w:val="00826896"/>
    <w:rsid w:val="00827E27"/>
    <w:rsid w:val="00831109"/>
    <w:rsid w:val="00835BD8"/>
    <w:rsid w:val="00840A9C"/>
    <w:rsid w:val="00841A5A"/>
    <w:rsid w:val="00847BAF"/>
    <w:rsid w:val="0086071C"/>
    <w:rsid w:val="00863528"/>
    <w:rsid w:val="008641BF"/>
    <w:rsid w:val="008659F2"/>
    <w:rsid w:val="00871B8C"/>
    <w:rsid w:val="00871EEB"/>
    <w:rsid w:val="0088184F"/>
    <w:rsid w:val="00895014"/>
    <w:rsid w:val="00896320"/>
    <w:rsid w:val="008A1390"/>
    <w:rsid w:val="008A2470"/>
    <w:rsid w:val="008B20EE"/>
    <w:rsid w:val="008B5CAA"/>
    <w:rsid w:val="008C0AB2"/>
    <w:rsid w:val="008D09EC"/>
    <w:rsid w:val="008D116E"/>
    <w:rsid w:val="008D3FB0"/>
    <w:rsid w:val="008D5EE7"/>
    <w:rsid w:val="008D7659"/>
    <w:rsid w:val="008E1BEF"/>
    <w:rsid w:val="008F64CA"/>
    <w:rsid w:val="009009E5"/>
    <w:rsid w:val="009057D1"/>
    <w:rsid w:val="00905CFB"/>
    <w:rsid w:val="00907764"/>
    <w:rsid w:val="009124A8"/>
    <w:rsid w:val="009129F7"/>
    <w:rsid w:val="00913258"/>
    <w:rsid w:val="00913AD5"/>
    <w:rsid w:val="00914DA4"/>
    <w:rsid w:val="0091666E"/>
    <w:rsid w:val="00924CAA"/>
    <w:rsid w:val="00925779"/>
    <w:rsid w:val="00930915"/>
    <w:rsid w:val="00930EE4"/>
    <w:rsid w:val="00932B02"/>
    <w:rsid w:val="00933D72"/>
    <w:rsid w:val="00933FC9"/>
    <w:rsid w:val="00936910"/>
    <w:rsid w:val="00942214"/>
    <w:rsid w:val="0094429F"/>
    <w:rsid w:val="00946939"/>
    <w:rsid w:val="00946C1B"/>
    <w:rsid w:val="00954C82"/>
    <w:rsid w:val="00955CF1"/>
    <w:rsid w:val="00957DF1"/>
    <w:rsid w:val="00966383"/>
    <w:rsid w:val="0097382B"/>
    <w:rsid w:val="009738B3"/>
    <w:rsid w:val="00974536"/>
    <w:rsid w:val="0097789C"/>
    <w:rsid w:val="00980827"/>
    <w:rsid w:val="00980D8E"/>
    <w:rsid w:val="00981CB7"/>
    <w:rsid w:val="009850C2"/>
    <w:rsid w:val="00986A8B"/>
    <w:rsid w:val="009A0919"/>
    <w:rsid w:val="009A1130"/>
    <w:rsid w:val="009A2BB3"/>
    <w:rsid w:val="009A3C14"/>
    <w:rsid w:val="009A53E6"/>
    <w:rsid w:val="009B0B09"/>
    <w:rsid w:val="009B5ED9"/>
    <w:rsid w:val="009C0295"/>
    <w:rsid w:val="009C4D76"/>
    <w:rsid w:val="009C74D4"/>
    <w:rsid w:val="009D3605"/>
    <w:rsid w:val="009E1EBC"/>
    <w:rsid w:val="009E380C"/>
    <w:rsid w:val="009E67E3"/>
    <w:rsid w:val="009F0A3D"/>
    <w:rsid w:val="009F15B1"/>
    <w:rsid w:val="009F2576"/>
    <w:rsid w:val="009F29A9"/>
    <w:rsid w:val="009F523A"/>
    <w:rsid w:val="009F6E28"/>
    <w:rsid w:val="00A019AB"/>
    <w:rsid w:val="00A02DFD"/>
    <w:rsid w:val="00A04DC2"/>
    <w:rsid w:val="00A050A1"/>
    <w:rsid w:val="00A10AD1"/>
    <w:rsid w:val="00A11925"/>
    <w:rsid w:val="00A256F8"/>
    <w:rsid w:val="00A359BF"/>
    <w:rsid w:val="00A36CD6"/>
    <w:rsid w:val="00A3735A"/>
    <w:rsid w:val="00A377DD"/>
    <w:rsid w:val="00A40685"/>
    <w:rsid w:val="00A41437"/>
    <w:rsid w:val="00A443E2"/>
    <w:rsid w:val="00A44914"/>
    <w:rsid w:val="00A458AB"/>
    <w:rsid w:val="00A45A67"/>
    <w:rsid w:val="00A45AF3"/>
    <w:rsid w:val="00A46442"/>
    <w:rsid w:val="00A5096A"/>
    <w:rsid w:val="00A531D9"/>
    <w:rsid w:val="00A534E4"/>
    <w:rsid w:val="00A5395E"/>
    <w:rsid w:val="00A54C0E"/>
    <w:rsid w:val="00A57673"/>
    <w:rsid w:val="00A65EAF"/>
    <w:rsid w:val="00A67B01"/>
    <w:rsid w:val="00A7001B"/>
    <w:rsid w:val="00A71ACC"/>
    <w:rsid w:val="00A72DBD"/>
    <w:rsid w:val="00A80E97"/>
    <w:rsid w:val="00A87EB5"/>
    <w:rsid w:val="00A9335C"/>
    <w:rsid w:val="00A967CC"/>
    <w:rsid w:val="00A97361"/>
    <w:rsid w:val="00AA12B2"/>
    <w:rsid w:val="00AA52A8"/>
    <w:rsid w:val="00AA6225"/>
    <w:rsid w:val="00AA7EDD"/>
    <w:rsid w:val="00AB244D"/>
    <w:rsid w:val="00AB6145"/>
    <w:rsid w:val="00AC5266"/>
    <w:rsid w:val="00AC643E"/>
    <w:rsid w:val="00AD06B7"/>
    <w:rsid w:val="00AD26EB"/>
    <w:rsid w:val="00AD2874"/>
    <w:rsid w:val="00AD2F6C"/>
    <w:rsid w:val="00AD61CE"/>
    <w:rsid w:val="00AD641C"/>
    <w:rsid w:val="00AF56D2"/>
    <w:rsid w:val="00B20909"/>
    <w:rsid w:val="00B23E5D"/>
    <w:rsid w:val="00B356BF"/>
    <w:rsid w:val="00B36D78"/>
    <w:rsid w:val="00B420EC"/>
    <w:rsid w:val="00B45D42"/>
    <w:rsid w:val="00B637EA"/>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C0CD5"/>
    <w:rsid w:val="00BC0EF9"/>
    <w:rsid w:val="00BC1564"/>
    <w:rsid w:val="00BC649A"/>
    <w:rsid w:val="00BC76A7"/>
    <w:rsid w:val="00BD14C6"/>
    <w:rsid w:val="00BD15BA"/>
    <w:rsid w:val="00BE0C91"/>
    <w:rsid w:val="00C203E6"/>
    <w:rsid w:val="00C24352"/>
    <w:rsid w:val="00C24A0B"/>
    <w:rsid w:val="00C26D86"/>
    <w:rsid w:val="00C308F3"/>
    <w:rsid w:val="00C33678"/>
    <w:rsid w:val="00C367EF"/>
    <w:rsid w:val="00C40491"/>
    <w:rsid w:val="00C40CDF"/>
    <w:rsid w:val="00C43944"/>
    <w:rsid w:val="00C4627A"/>
    <w:rsid w:val="00C52AF2"/>
    <w:rsid w:val="00C54790"/>
    <w:rsid w:val="00C548DC"/>
    <w:rsid w:val="00C63EDE"/>
    <w:rsid w:val="00C64033"/>
    <w:rsid w:val="00C70500"/>
    <w:rsid w:val="00C75FFE"/>
    <w:rsid w:val="00C76377"/>
    <w:rsid w:val="00C80A35"/>
    <w:rsid w:val="00C819E0"/>
    <w:rsid w:val="00C82EC5"/>
    <w:rsid w:val="00C839AC"/>
    <w:rsid w:val="00C850DF"/>
    <w:rsid w:val="00C92091"/>
    <w:rsid w:val="00C95162"/>
    <w:rsid w:val="00C96423"/>
    <w:rsid w:val="00CA1915"/>
    <w:rsid w:val="00CA6F3C"/>
    <w:rsid w:val="00CB31B2"/>
    <w:rsid w:val="00CB53BC"/>
    <w:rsid w:val="00CB7299"/>
    <w:rsid w:val="00CD6908"/>
    <w:rsid w:val="00CE2519"/>
    <w:rsid w:val="00CE2C68"/>
    <w:rsid w:val="00CE5565"/>
    <w:rsid w:val="00CE58A2"/>
    <w:rsid w:val="00CE7E26"/>
    <w:rsid w:val="00CF0561"/>
    <w:rsid w:val="00CF6F14"/>
    <w:rsid w:val="00CF72E6"/>
    <w:rsid w:val="00CF79C3"/>
    <w:rsid w:val="00D0025C"/>
    <w:rsid w:val="00D00E1C"/>
    <w:rsid w:val="00D0195B"/>
    <w:rsid w:val="00D01C7F"/>
    <w:rsid w:val="00D05C2F"/>
    <w:rsid w:val="00D12E0F"/>
    <w:rsid w:val="00D22012"/>
    <w:rsid w:val="00D22A66"/>
    <w:rsid w:val="00D30FD9"/>
    <w:rsid w:val="00D33B44"/>
    <w:rsid w:val="00D34011"/>
    <w:rsid w:val="00D439EE"/>
    <w:rsid w:val="00D44844"/>
    <w:rsid w:val="00D46A5B"/>
    <w:rsid w:val="00D47B89"/>
    <w:rsid w:val="00D558D9"/>
    <w:rsid w:val="00D57802"/>
    <w:rsid w:val="00D6027D"/>
    <w:rsid w:val="00D63967"/>
    <w:rsid w:val="00D71762"/>
    <w:rsid w:val="00D7387D"/>
    <w:rsid w:val="00D8304F"/>
    <w:rsid w:val="00D83DCB"/>
    <w:rsid w:val="00D84E67"/>
    <w:rsid w:val="00D90AFD"/>
    <w:rsid w:val="00D92BF8"/>
    <w:rsid w:val="00DA1FAD"/>
    <w:rsid w:val="00DA51A9"/>
    <w:rsid w:val="00DA5E21"/>
    <w:rsid w:val="00DB7A42"/>
    <w:rsid w:val="00DC25E0"/>
    <w:rsid w:val="00DC4196"/>
    <w:rsid w:val="00DC79AD"/>
    <w:rsid w:val="00DE0643"/>
    <w:rsid w:val="00DE5095"/>
    <w:rsid w:val="00DE6549"/>
    <w:rsid w:val="00DF0755"/>
    <w:rsid w:val="00DF0DBA"/>
    <w:rsid w:val="00DF6015"/>
    <w:rsid w:val="00E05DA4"/>
    <w:rsid w:val="00E101B8"/>
    <w:rsid w:val="00E136A8"/>
    <w:rsid w:val="00E137C0"/>
    <w:rsid w:val="00E13EAE"/>
    <w:rsid w:val="00E1582E"/>
    <w:rsid w:val="00E1677F"/>
    <w:rsid w:val="00E16F8D"/>
    <w:rsid w:val="00E250A8"/>
    <w:rsid w:val="00E26E91"/>
    <w:rsid w:val="00E35A1C"/>
    <w:rsid w:val="00E35C8C"/>
    <w:rsid w:val="00E377CF"/>
    <w:rsid w:val="00E44B57"/>
    <w:rsid w:val="00E46E40"/>
    <w:rsid w:val="00E47004"/>
    <w:rsid w:val="00E477E3"/>
    <w:rsid w:val="00E479A5"/>
    <w:rsid w:val="00E55180"/>
    <w:rsid w:val="00E571DF"/>
    <w:rsid w:val="00E6086E"/>
    <w:rsid w:val="00E6215C"/>
    <w:rsid w:val="00E62F20"/>
    <w:rsid w:val="00E65CDE"/>
    <w:rsid w:val="00E76D48"/>
    <w:rsid w:val="00E82A60"/>
    <w:rsid w:val="00E82E43"/>
    <w:rsid w:val="00E835D2"/>
    <w:rsid w:val="00E836B7"/>
    <w:rsid w:val="00E84498"/>
    <w:rsid w:val="00E84FD0"/>
    <w:rsid w:val="00E86724"/>
    <w:rsid w:val="00E86EC1"/>
    <w:rsid w:val="00E94277"/>
    <w:rsid w:val="00EA1CA3"/>
    <w:rsid w:val="00EA2927"/>
    <w:rsid w:val="00EA3C9B"/>
    <w:rsid w:val="00EA7725"/>
    <w:rsid w:val="00EB2D78"/>
    <w:rsid w:val="00EB6E2F"/>
    <w:rsid w:val="00EB6EEE"/>
    <w:rsid w:val="00EC02EC"/>
    <w:rsid w:val="00EC1807"/>
    <w:rsid w:val="00EC6BEE"/>
    <w:rsid w:val="00ED2335"/>
    <w:rsid w:val="00ED31AB"/>
    <w:rsid w:val="00ED36B6"/>
    <w:rsid w:val="00ED72F7"/>
    <w:rsid w:val="00EE52B4"/>
    <w:rsid w:val="00EF1272"/>
    <w:rsid w:val="00F165EE"/>
    <w:rsid w:val="00F171F4"/>
    <w:rsid w:val="00F40715"/>
    <w:rsid w:val="00F44583"/>
    <w:rsid w:val="00F4495E"/>
    <w:rsid w:val="00F50910"/>
    <w:rsid w:val="00F5371A"/>
    <w:rsid w:val="00F5775B"/>
    <w:rsid w:val="00F73C09"/>
    <w:rsid w:val="00F75A67"/>
    <w:rsid w:val="00F81C10"/>
    <w:rsid w:val="00F8357A"/>
    <w:rsid w:val="00F839CE"/>
    <w:rsid w:val="00F91AC7"/>
    <w:rsid w:val="00F92EE4"/>
    <w:rsid w:val="00F93697"/>
    <w:rsid w:val="00FA6CF0"/>
    <w:rsid w:val="00FA7449"/>
    <w:rsid w:val="00FB1C4B"/>
    <w:rsid w:val="00FB6D8A"/>
    <w:rsid w:val="00FB7780"/>
    <w:rsid w:val="00FC1E7F"/>
    <w:rsid w:val="00FC278C"/>
    <w:rsid w:val="00FC304E"/>
    <w:rsid w:val="00FC46FF"/>
    <w:rsid w:val="00FC68E1"/>
    <w:rsid w:val="00FC7DF8"/>
    <w:rsid w:val="00FD0C5C"/>
    <w:rsid w:val="00FD0FD7"/>
    <w:rsid w:val="00FD2A0A"/>
    <w:rsid w:val="00FD4489"/>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2"/>
      </w:numPr>
      <w:spacing w:before="240" w:after="60"/>
      <w:outlineLvl w:val="6"/>
    </w:pPr>
    <w:rPr>
      <w:rFonts w:ascii="Arial" w:hAnsi="Arial"/>
    </w:rPr>
  </w:style>
  <w:style w:type="paragraph" w:styleId="Heading8">
    <w:name w:val="heading 8"/>
    <w:basedOn w:val="Normal"/>
    <w:next w:val="Normal"/>
    <w:qFormat/>
    <w:rsid w:val="005C43AF"/>
    <w:pPr>
      <w:numPr>
        <w:ilvl w:val="7"/>
        <w:numId w:val="2"/>
      </w:numPr>
      <w:spacing w:before="240" w:after="60"/>
      <w:outlineLvl w:val="7"/>
    </w:pPr>
    <w:rPr>
      <w:rFonts w:ascii="Arial" w:hAnsi="Arial"/>
      <w:iCs/>
    </w:rPr>
  </w:style>
  <w:style w:type="paragraph" w:styleId="Heading9">
    <w:name w:val="heading 9"/>
    <w:basedOn w:val="Normal"/>
    <w:next w:val="Normal"/>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4DED8-1009-4EBD-941E-CE287E25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3455</Words>
  <Characters>18854</Characters>
  <Application>Microsoft Office Word</Application>
  <DocSecurity>0</DocSecurity>
  <Lines>157</Lines>
  <Paragraphs>44</Paragraphs>
  <ScaleCrop>false</ScaleCrop>
  <Company/>
  <LinksUpToDate>false</LinksUpToDate>
  <CharactersWithSpaces>22265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2017-08-11T13:52:00Z</dcterms:created>
  <dcterms:modified xsi:type="dcterms:W3CDTF">2017-08-11T13:52:00Z</dcterms:modified>
</cp:coreProperties>
</file>